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B78EB9">
      <w:pPr>
        <w:spacing w:after="0" w:line="240" w:lineRule="auto"/>
        <w:jc w:val="center"/>
        <w:rPr>
          <w:rFonts w:eastAsia="黑体"/>
          <w:color w:val="auto"/>
          <w:sz w:val="36"/>
          <w:lang w:eastAsia="zh-CN"/>
        </w:rPr>
      </w:pPr>
      <w:r>
        <w:rPr>
          <w:rFonts w:hint="eastAsia" w:ascii="仿宋" w:hAnsi="仿宋" w:eastAsia="仿宋" w:cs="仿宋"/>
          <w:color w:val="auto"/>
          <w:sz w:val="36"/>
          <w:lang w:eastAsia="zh-CN"/>
        </w:rPr>
        <w:t>自贡丰源康泰健康科技有限公司</w:t>
      </w:r>
    </w:p>
    <w:p w14:paraId="26EB1711">
      <w:pPr>
        <w:rPr>
          <w:lang w:eastAsia="zh-CN"/>
        </w:rPr>
      </w:pPr>
    </w:p>
    <w:p w14:paraId="23E0A212">
      <w:pPr>
        <w:rPr>
          <w:lang w:eastAsia="zh-CN"/>
        </w:rPr>
      </w:pPr>
    </w:p>
    <w:p w14:paraId="7BB65D89">
      <w:pPr>
        <w:rPr>
          <w:lang w:eastAsia="zh-CN"/>
        </w:rPr>
      </w:pPr>
    </w:p>
    <w:p w14:paraId="1E2F382C">
      <w:pPr>
        <w:rPr>
          <w:u w:val="double"/>
          <w:lang w:eastAsia="zh-CN"/>
        </w:rPr>
      </w:pPr>
    </w:p>
    <w:p w14:paraId="148ABCF0">
      <w:pPr>
        <w:rPr>
          <w:lang w:eastAsia="zh-CN"/>
        </w:rPr>
      </w:pPr>
    </w:p>
    <w:p w14:paraId="297F0B92">
      <w:pPr>
        <w:pStyle w:val="2"/>
        <w:rPr>
          <w:lang w:eastAsia="zh-CN"/>
        </w:rPr>
      </w:pPr>
    </w:p>
    <w:p w14:paraId="09EBA55A">
      <w:pPr>
        <w:rPr>
          <w:lang w:eastAsia="zh-CN"/>
        </w:rPr>
      </w:pPr>
    </w:p>
    <w:p w14:paraId="303321D9">
      <w:pPr>
        <w:rPr>
          <w:lang w:eastAsia="zh-CN"/>
        </w:rPr>
      </w:pPr>
    </w:p>
    <w:p w14:paraId="34A6457E">
      <w:pPr>
        <w:rPr>
          <w:lang w:eastAsia="zh-CN"/>
        </w:rPr>
      </w:pPr>
    </w:p>
    <w:p w14:paraId="69C4CD6F">
      <w:pPr>
        <w:jc w:val="center"/>
        <w:rPr>
          <w:u w:val="single"/>
          <w:lang w:eastAsia="zh-CN"/>
        </w:rPr>
      </w:pPr>
      <w:r>
        <w:rPr>
          <w:rFonts w:ascii="黑体" w:hAnsi="黑体"/>
          <w:b/>
          <w:sz w:val="44"/>
          <w:u w:val="single"/>
          <w:lang w:eastAsia="zh-CN"/>
        </w:rPr>
        <w:t>视光中心运营服务项目遴选文件</w:t>
      </w:r>
    </w:p>
    <w:p w14:paraId="3E0A1349">
      <w:pPr>
        <w:jc w:val="center"/>
        <w:rPr>
          <w:color w:val="auto"/>
          <w:lang w:eastAsia="zh-CN"/>
        </w:rPr>
      </w:pPr>
      <w:r>
        <w:rPr>
          <w:rFonts w:hint="eastAsia"/>
          <w:color w:val="auto"/>
          <w:lang w:eastAsia="zh-CN"/>
        </w:rPr>
        <w:t>项目编号：ZGFY</w:t>
      </w:r>
      <w:r>
        <w:rPr>
          <w:rFonts w:hint="eastAsia"/>
          <w:color w:val="auto"/>
          <w:lang w:val="en-US" w:eastAsia="zh-CN"/>
        </w:rPr>
        <w:t>KTZB</w:t>
      </w:r>
      <w:r>
        <w:rPr>
          <w:rFonts w:hint="eastAsia"/>
          <w:color w:val="auto"/>
          <w:lang w:eastAsia="zh-CN"/>
        </w:rPr>
        <w:t>0</w:t>
      </w:r>
      <w:r>
        <w:rPr>
          <w:rFonts w:hint="eastAsia"/>
          <w:color w:val="auto"/>
          <w:lang w:val="en-US" w:eastAsia="zh-CN"/>
        </w:rPr>
        <w:t>2</w:t>
      </w:r>
    </w:p>
    <w:p w14:paraId="2392A9F1">
      <w:pPr>
        <w:rPr>
          <w:lang w:eastAsia="zh-CN"/>
        </w:rPr>
      </w:pPr>
    </w:p>
    <w:p w14:paraId="4C8E54E6">
      <w:pPr>
        <w:rPr>
          <w:lang w:eastAsia="zh-CN"/>
        </w:rPr>
      </w:pPr>
    </w:p>
    <w:p w14:paraId="0B5BC6F0">
      <w:pPr>
        <w:rPr>
          <w:lang w:eastAsia="zh-CN"/>
        </w:rPr>
      </w:pPr>
    </w:p>
    <w:p w14:paraId="5AEB8E52">
      <w:pPr>
        <w:rPr>
          <w:lang w:eastAsia="zh-CN"/>
        </w:rPr>
      </w:pPr>
    </w:p>
    <w:p w14:paraId="19BFD547">
      <w:pPr>
        <w:rPr>
          <w:lang w:eastAsia="zh-CN"/>
        </w:rPr>
      </w:pPr>
    </w:p>
    <w:p w14:paraId="6F65D770">
      <w:pPr>
        <w:rPr>
          <w:lang w:eastAsia="zh-CN"/>
        </w:rPr>
      </w:pPr>
    </w:p>
    <w:p w14:paraId="3106CAF1">
      <w:pPr>
        <w:pStyle w:val="2"/>
        <w:rPr>
          <w:lang w:eastAsia="zh-CN"/>
        </w:rPr>
      </w:pPr>
    </w:p>
    <w:p w14:paraId="6CA43E90">
      <w:pPr>
        <w:rPr>
          <w:lang w:eastAsia="zh-CN"/>
        </w:rPr>
      </w:pPr>
    </w:p>
    <w:p w14:paraId="7401114C">
      <w:pPr>
        <w:spacing w:line="360" w:lineRule="auto"/>
        <w:jc w:val="center"/>
        <w:rPr>
          <w:sz w:val="28"/>
          <w:szCs w:val="28"/>
          <w:lang w:eastAsia="zh-CN"/>
        </w:rPr>
      </w:pPr>
      <w:r>
        <w:rPr>
          <w:sz w:val="28"/>
          <w:szCs w:val="28"/>
          <w:lang w:eastAsia="zh-CN"/>
        </w:rPr>
        <w:t>采购单位：</w:t>
      </w:r>
      <w:r>
        <w:rPr>
          <w:rFonts w:hint="eastAsia"/>
          <w:sz w:val="28"/>
          <w:szCs w:val="28"/>
          <w:lang w:eastAsia="zh-CN"/>
        </w:rPr>
        <w:t>自贡丰源康泰健康科技有限公司</w:t>
      </w:r>
    </w:p>
    <w:p w14:paraId="68017B88">
      <w:pPr>
        <w:pStyle w:val="2"/>
        <w:rPr>
          <w:sz w:val="28"/>
          <w:szCs w:val="28"/>
          <w:lang w:eastAsia="zh-CN"/>
        </w:rPr>
      </w:pPr>
    </w:p>
    <w:p w14:paraId="1BECF20A">
      <w:pPr>
        <w:rPr>
          <w:sz w:val="28"/>
          <w:szCs w:val="28"/>
          <w:lang w:eastAsia="zh-CN"/>
        </w:rPr>
      </w:pPr>
    </w:p>
    <w:p w14:paraId="6C0E371B">
      <w:pPr>
        <w:pStyle w:val="2"/>
        <w:rPr>
          <w:sz w:val="28"/>
          <w:szCs w:val="28"/>
          <w:lang w:eastAsia="zh-CN"/>
        </w:rPr>
      </w:pPr>
    </w:p>
    <w:p w14:paraId="7864FFF7">
      <w:pPr>
        <w:rPr>
          <w:lang w:eastAsia="zh-CN"/>
        </w:rPr>
      </w:pPr>
    </w:p>
    <w:p w14:paraId="55BC9BFE">
      <w:pPr>
        <w:jc w:val="center"/>
        <w:rPr>
          <w:sz w:val="28"/>
          <w:szCs w:val="28"/>
        </w:rPr>
      </w:pPr>
      <w:r>
        <w:rPr>
          <w:sz w:val="28"/>
          <w:szCs w:val="28"/>
        </w:rPr>
        <w:t>日  期：2026年8月</w:t>
      </w:r>
    </w:p>
    <w:p w14:paraId="3FB94374">
      <w:r>
        <w:br w:type="page"/>
      </w:r>
    </w:p>
    <w:p w14:paraId="415D8D5C">
      <w:pPr>
        <w:pStyle w:val="4"/>
        <w:spacing w:before="0"/>
        <w:jc w:val="center"/>
      </w:pPr>
      <w:bookmarkStart w:id="0" w:name="__RefHeading___Toc13344_1983119206"/>
      <w:bookmarkEnd w:id="0"/>
      <w:r>
        <w:t>目  录</w:t>
      </w:r>
    </w:p>
    <w:sdt>
      <w:sdtPr>
        <w:id w:val="147475823"/>
        <w:docPartObj>
          <w:docPartGallery w:val="Table of Contents"/>
          <w:docPartUnique/>
        </w:docPartObj>
      </w:sdtPr>
      <w:sdtContent>
        <w:p w14:paraId="3D04E28E">
          <w:pPr>
            <w:pStyle w:val="28"/>
            <w:tabs>
              <w:tab w:val="right" w:leader="dot" w:pos="8299"/>
              <w:tab w:val="clear" w:pos="8300"/>
            </w:tabs>
          </w:pPr>
          <w:r>
            <w:fldChar w:fldCharType="begin"/>
          </w:r>
          <w:r>
            <w:rPr>
              <w:rStyle w:val="169"/>
            </w:rPr>
            <w:instrText xml:space="preserve"> TOC \z \o "1-3" \u \h</w:instrText>
          </w:r>
          <w:r>
            <w:rPr>
              <w:rStyle w:val="169"/>
            </w:rPr>
            <w:fldChar w:fldCharType="separate"/>
          </w:r>
          <w:r>
            <w:fldChar w:fldCharType="begin"/>
          </w:r>
          <w:r>
            <w:instrText xml:space="preserve"> HYPERLINK \l "__RefHeading___Toc13344_1983119206" \h </w:instrText>
          </w:r>
          <w:r>
            <w:fldChar w:fldCharType="separate"/>
          </w:r>
          <w:r>
            <w:rPr>
              <w:rStyle w:val="169"/>
            </w:rPr>
            <w:t>目 录</w:t>
          </w:r>
          <w:r>
            <w:rPr>
              <w:rStyle w:val="169"/>
            </w:rPr>
            <w:tab/>
          </w:r>
          <w:r>
            <w:rPr>
              <w:rStyle w:val="169"/>
            </w:rPr>
            <w:t>2</w:t>
          </w:r>
          <w:r>
            <w:rPr>
              <w:rStyle w:val="169"/>
            </w:rPr>
            <w:fldChar w:fldCharType="end"/>
          </w:r>
        </w:p>
        <w:p w14:paraId="7F743D25">
          <w:pPr>
            <w:pStyle w:val="28"/>
            <w:tabs>
              <w:tab w:val="right" w:leader="dot" w:pos="8299"/>
              <w:tab w:val="clear" w:pos="8300"/>
            </w:tabs>
          </w:pPr>
          <w:r>
            <w:fldChar w:fldCharType="begin"/>
          </w:r>
          <w:r>
            <w:instrText xml:space="preserve"> HYPERLINK \l "__RefHeading___Toc13346_1983119206" \h </w:instrText>
          </w:r>
          <w:r>
            <w:fldChar w:fldCharType="separate"/>
          </w:r>
          <w:r>
            <w:rPr>
              <w:rStyle w:val="169"/>
            </w:rPr>
            <w:t>第一章 招标公告</w:t>
          </w:r>
          <w:r>
            <w:rPr>
              <w:rStyle w:val="169"/>
            </w:rPr>
            <w:tab/>
          </w:r>
          <w:r>
            <w:rPr>
              <w:rStyle w:val="169"/>
            </w:rPr>
            <w:t>3</w:t>
          </w:r>
          <w:r>
            <w:rPr>
              <w:rStyle w:val="169"/>
            </w:rPr>
            <w:fldChar w:fldCharType="end"/>
          </w:r>
        </w:p>
        <w:p w14:paraId="295AB34C">
          <w:pPr>
            <w:pStyle w:val="33"/>
            <w:tabs>
              <w:tab w:val="right" w:leader="dot" w:pos="8299"/>
              <w:tab w:val="clear" w:pos="8017"/>
            </w:tabs>
          </w:pPr>
          <w:r>
            <w:fldChar w:fldCharType="begin"/>
          </w:r>
          <w:r>
            <w:instrText xml:space="preserve"> HYPERLINK \l "__RefHeading___Toc13348_1983119206" \h </w:instrText>
          </w:r>
          <w:r>
            <w:fldChar w:fldCharType="separate"/>
          </w:r>
          <w:r>
            <w:rPr>
              <w:rStyle w:val="169"/>
            </w:rPr>
            <w:t>一、项目编号</w:t>
          </w:r>
          <w:r>
            <w:rPr>
              <w:rStyle w:val="169"/>
            </w:rPr>
            <w:tab/>
          </w:r>
          <w:r>
            <w:rPr>
              <w:rStyle w:val="169"/>
            </w:rPr>
            <w:t>3</w:t>
          </w:r>
          <w:r>
            <w:rPr>
              <w:rStyle w:val="169"/>
            </w:rPr>
            <w:fldChar w:fldCharType="end"/>
          </w:r>
        </w:p>
        <w:p w14:paraId="179D3205">
          <w:pPr>
            <w:pStyle w:val="33"/>
            <w:tabs>
              <w:tab w:val="right" w:leader="dot" w:pos="8299"/>
              <w:tab w:val="clear" w:pos="8017"/>
            </w:tabs>
          </w:pPr>
          <w:r>
            <w:fldChar w:fldCharType="begin"/>
          </w:r>
          <w:r>
            <w:instrText xml:space="preserve"> HYPERLINK \l "__RefHeading___Toc13350_1983119206" \h </w:instrText>
          </w:r>
          <w:r>
            <w:fldChar w:fldCharType="separate"/>
          </w:r>
          <w:r>
            <w:rPr>
              <w:rStyle w:val="169"/>
            </w:rPr>
            <w:t>二、采购方式</w:t>
          </w:r>
          <w:r>
            <w:rPr>
              <w:rStyle w:val="169"/>
            </w:rPr>
            <w:tab/>
          </w:r>
          <w:r>
            <w:rPr>
              <w:rStyle w:val="169"/>
            </w:rPr>
            <w:t>3</w:t>
          </w:r>
          <w:r>
            <w:rPr>
              <w:rStyle w:val="169"/>
            </w:rPr>
            <w:fldChar w:fldCharType="end"/>
          </w:r>
        </w:p>
        <w:p w14:paraId="0494A144">
          <w:pPr>
            <w:pStyle w:val="33"/>
            <w:tabs>
              <w:tab w:val="right" w:leader="dot" w:pos="8299"/>
              <w:tab w:val="clear" w:pos="8017"/>
            </w:tabs>
          </w:pPr>
          <w:r>
            <w:fldChar w:fldCharType="begin"/>
          </w:r>
          <w:r>
            <w:instrText xml:space="preserve"> HYPERLINK \l "__RefHeading___Toc13352_1983119206" \h </w:instrText>
          </w:r>
          <w:r>
            <w:fldChar w:fldCharType="separate"/>
          </w:r>
          <w:r>
            <w:rPr>
              <w:rStyle w:val="169"/>
            </w:rPr>
            <w:t>三、招标项目概况</w:t>
          </w:r>
          <w:r>
            <w:rPr>
              <w:rStyle w:val="169"/>
            </w:rPr>
            <w:tab/>
          </w:r>
          <w:r>
            <w:rPr>
              <w:rStyle w:val="169"/>
            </w:rPr>
            <w:t>3</w:t>
          </w:r>
          <w:r>
            <w:rPr>
              <w:rStyle w:val="169"/>
            </w:rPr>
            <w:fldChar w:fldCharType="end"/>
          </w:r>
        </w:p>
        <w:p w14:paraId="54FB7110">
          <w:pPr>
            <w:pStyle w:val="33"/>
            <w:tabs>
              <w:tab w:val="right" w:leader="dot" w:pos="8299"/>
              <w:tab w:val="clear" w:pos="8017"/>
            </w:tabs>
          </w:pPr>
          <w:r>
            <w:fldChar w:fldCharType="begin"/>
          </w:r>
          <w:r>
            <w:instrText xml:space="preserve"> HYPERLINK \l "__RefHeading___Toc13354_1983119206" \h </w:instrText>
          </w:r>
          <w:r>
            <w:fldChar w:fldCharType="separate"/>
          </w:r>
          <w:r>
            <w:rPr>
              <w:rStyle w:val="169"/>
            </w:rPr>
            <w:t>四、供应商资格要求</w:t>
          </w:r>
          <w:r>
            <w:rPr>
              <w:rStyle w:val="169"/>
            </w:rPr>
            <w:tab/>
          </w:r>
          <w:r>
            <w:rPr>
              <w:rStyle w:val="169"/>
            </w:rPr>
            <w:t>3</w:t>
          </w:r>
          <w:r>
            <w:rPr>
              <w:rStyle w:val="169"/>
            </w:rPr>
            <w:fldChar w:fldCharType="end"/>
          </w:r>
        </w:p>
        <w:p w14:paraId="4D2D57F7">
          <w:pPr>
            <w:pStyle w:val="33"/>
            <w:tabs>
              <w:tab w:val="right" w:leader="dot" w:pos="8299"/>
              <w:tab w:val="clear" w:pos="8017"/>
            </w:tabs>
          </w:pPr>
          <w:r>
            <w:fldChar w:fldCharType="begin"/>
          </w:r>
          <w:r>
            <w:instrText xml:space="preserve"> HYPERLINK \l "__RefHeading___Toc13356_1983119206" \h </w:instrText>
          </w:r>
          <w:r>
            <w:fldChar w:fldCharType="separate"/>
          </w:r>
          <w:r>
            <w:rPr>
              <w:rStyle w:val="169"/>
            </w:rPr>
            <w:t>五、投标截止时间和地点</w:t>
          </w:r>
          <w:r>
            <w:rPr>
              <w:rStyle w:val="169"/>
            </w:rPr>
            <w:tab/>
          </w:r>
          <w:r>
            <w:rPr>
              <w:rStyle w:val="169"/>
            </w:rPr>
            <w:t>3</w:t>
          </w:r>
          <w:r>
            <w:rPr>
              <w:rStyle w:val="169"/>
            </w:rPr>
            <w:fldChar w:fldCharType="end"/>
          </w:r>
        </w:p>
        <w:p w14:paraId="5F9480CF">
          <w:pPr>
            <w:pStyle w:val="33"/>
            <w:tabs>
              <w:tab w:val="right" w:leader="dot" w:pos="8299"/>
              <w:tab w:val="clear" w:pos="8017"/>
            </w:tabs>
          </w:pPr>
          <w:r>
            <w:fldChar w:fldCharType="begin"/>
          </w:r>
          <w:r>
            <w:instrText xml:space="preserve"> HYPERLINK \l "__RefHeading___Toc13358_1983119206" \h </w:instrText>
          </w:r>
          <w:r>
            <w:fldChar w:fldCharType="separate"/>
          </w:r>
          <w:r>
            <w:rPr>
              <w:rStyle w:val="169"/>
            </w:rPr>
            <w:t>六、开标时间及地点</w:t>
          </w:r>
          <w:r>
            <w:rPr>
              <w:rStyle w:val="169"/>
            </w:rPr>
            <w:tab/>
          </w:r>
          <w:r>
            <w:rPr>
              <w:rStyle w:val="169"/>
            </w:rPr>
            <w:t>3</w:t>
          </w:r>
          <w:r>
            <w:rPr>
              <w:rStyle w:val="169"/>
            </w:rPr>
            <w:fldChar w:fldCharType="end"/>
          </w:r>
        </w:p>
        <w:p w14:paraId="5F1E7C7C">
          <w:pPr>
            <w:pStyle w:val="33"/>
            <w:tabs>
              <w:tab w:val="right" w:leader="dot" w:pos="8299"/>
              <w:tab w:val="clear" w:pos="8017"/>
            </w:tabs>
          </w:pPr>
          <w:r>
            <w:fldChar w:fldCharType="begin"/>
          </w:r>
          <w:r>
            <w:instrText xml:space="preserve"> HYPERLINK \l "__RefHeading___Toc13360_1983119206" \h </w:instrText>
          </w:r>
          <w:r>
            <w:fldChar w:fldCharType="separate"/>
          </w:r>
          <w:r>
            <w:rPr>
              <w:rStyle w:val="169"/>
            </w:rPr>
            <w:t>七、联系方式</w:t>
          </w:r>
          <w:r>
            <w:rPr>
              <w:rStyle w:val="169"/>
            </w:rPr>
            <w:tab/>
          </w:r>
          <w:r>
            <w:rPr>
              <w:rStyle w:val="169"/>
            </w:rPr>
            <w:t>4</w:t>
          </w:r>
          <w:r>
            <w:rPr>
              <w:rStyle w:val="169"/>
            </w:rPr>
            <w:fldChar w:fldCharType="end"/>
          </w:r>
        </w:p>
        <w:p w14:paraId="2F9A817B">
          <w:pPr>
            <w:pStyle w:val="28"/>
            <w:tabs>
              <w:tab w:val="right" w:leader="dot" w:pos="8299"/>
              <w:tab w:val="clear" w:pos="8300"/>
            </w:tabs>
          </w:pPr>
          <w:r>
            <w:fldChar w:fldCharType="begin"/>
          </w:r>
          <w:r>
            <w:instrText xml:space="preserve"> HYPERLINK \l "__RefHeading___Toc13362_1983119206" \h </w:instrText>
          </w:r>
          <w:r>
            <w:fldChar w:fldCharType="separate"/>
          </w:r>
          <w:r>
            <w:rPr>
              <w:rStyle w:val="169"/>
            </w:rPr>
            <w:t>第二章 项目内容及需求</w:t>
          </w:r>
          <w:r>
            <w:rPr>
              <w:rStyle w:val="169"/>
            </w:rPr>
            <w:tab/>
          </w:r>
          <w:r>
            <w:rPr>
              <w:rStyle w:val="169"/>
            </w:rPr>
            <w:t>5</w:t>
          </w:r>
          <w:r>
            <w:rPr>
              <w:rStyle w:val="169"/>
            </w:rPr>
            <w:fldChar w:fldCharType="end"/>
          </w:r>
        </w:p>
        <w:p w14:paraId="55661CC1">
          <w:pPr>
            <w:pStyle w:val="33"/>
            <w:tabs>
              <w:tab w:val="right" w:leader="dot" w:pos="8299"/>
              <w:tab w:val="clear" w:pos="8017"/>
            </w:tabs>
          </w:pPr>
          <w:r>
            <w:fldChar w:fldCharType="begin"/>
          </w:r>
          <w:r>
            <w:instrText xml:space="preserve"> HYPERLINK \l "__RefHeading___Toc13364_1983119206" \h </w:instrText>
          </w:r>
          <w:r>
            <w:fldChar w:fldCharType="separate"/>
          </w:r>
          <w:r>
            <w:rPr>
              <w:rStyle w:val="169"/>
            </w:rPr>
            <w:t>一、项目概况</w:t>
          </w:r>
          <w:r>
            <w:rPr>
              <w:rStyle w:val="169"/>
            </w:rPr>
            <w:tab/>
          </w:r>
          <w:r>
            <w:rPr>
              <w:rStyle w:val="169"/>
            </w:rPr>
            <w:t>5</w:t>
          </w:r>
          <w:r>
            <w:rPr>
              <w:rStyle w:val="169"/>
            </w:rPr>
            <w:fldChar w:fldCharType="end"/>
          </w:r>
        </w:p>
        <w:p w14:paraId="496A067B">
          <w:pPr>
            <w:pStyle w:val="33"/>
            <w:tabs>
              <w:tab w:val="right" w:leader="dot" w:pos="8299"/>
              <w:tab w:val="clear" w:pos="8017"/>
            </w:tabs>
          </w:pPr>
          <w:r>
            <w:fldChar w:fldCharType="begin"/>
          </w:r>
          <w:r>
            <w:instrText xml:space="preserve"> HYPERLINK \l "__RefHeading___Toc13366_1983119206" \h </w:instrText>
          </w:r>
          <w:r>
            <w:fldChar w:fldCharType="separate"/>
          </w:r>
          <w:r>
            <w:rPr>
              <w:rStyle w:val="169"/>
            </w:rPr>
            <w:t>二、项目要求</w:t>
          </w:r>
          <w:r>
            <w:rPr>
              <w:rStyle w:val="169"/>
            </w:rPr>
            <w:tab/>
          </w:r>
          <w:r>
            <w:rPr>
              <w:rStyle w:val="169"/>
            </w:rPr>
            <w:t>5</w:t>
          </w:r>
          <w:r>
            <w:rPr>
              <w:rStyle w:val="169"/>
            </w:rPr>
            <w:fldChar w:fldCharType="end"/>
          </w:r>
        </w:p>
        <w:p w14:paraId="03878BE2">
          <w:pPr>
            <w:pStyle w:val="24"/>
            <w:tabs>
              <w:tab w:val="right" w:leader="dot" w:pos="8299"/>
              <w:tab w:val="clear" w:pos="7733"/>
            </w:tabs>
          </w:pPr>
          <w:r>
            <w:fldChar w:fldCharType="begin"/>
          </w:r>
          <w:r>
            <w:instrText xml:space="preserve"> HYPERLINK \l "__RefHeading___Toc13368_1983119206" \h </w:instrText>
          </w:r>
          <w:r>
            <w:fldChar w:fldCharType="separate"/>
          </w:r>
          <w:r>
            <w:rPr>
              <w:rStyle w:val="169"/>
            </w:rPr>
            <w:t>（一）服务内容</w:t>
          </w:r>
          <w:r>
            <w:rPr>
              <w:rStyle w:val="169"/>
            </w:rPr>
            <w:tab/>
          </w:r>
          <w:r>
            <w:rPr>
              <w:rStyle w:val="169"/>
            </w:rPr>
            <w:t>5</w:t>
          </w:r>
          <w:r>
            <w:rPr>
              <w:rStyle w:val="169"/>
            </w:rPr>
            <w:fldChar w:fldCharType="end"/>
          </w:r>
        </w:p>
        <w:p w14:paraId="020DFF7F">
          <w:pPr>
            <w:pStyle w:val="24"/>
            <w:tabs>
              <w:tab w:val="right" w:leader="dot" w:pos="8299"/>
              <w:tab w:val="clear" w:pos="7733"/>
            </w:tabs>
          </w:pPr>
          <w:r>
            <w:fldChar w:fldCharType="begin"/>
          </w:r>
          <w:r>
            <w:instrText xml:space="preserve"> HYPERLINK \l "__RefHeading___Toc13370_1983119206" \h </w:instrText>
          </w:r>
          <w:r>
            <w:fldChar w:fldCharType="separate"/>
          </w:r>
          <w:r>
            <w:rPr>
              <w:rStyle w:val="169"/>
            </w:rPr>
            <w:t>（二）服务要求</w:t>
          </w:r>
          <w:r>
            <w:rPr>
              <w:rStyle w:val="169"/>
            </w:rPr>
            <w:tab/>
          </w:r>
          <w:r>
            <w:rPr>
              <w:rStyle w:val="169"/>
            </w:rPr>
            <w:t>6</w:t>
          </w:r>
          <w:r>
            <w:rPr>
              <w:rStyle w:val="169"/>
            </w:rPr>
            <w:fldChar w:fldCharType="end"/>
          </w:r>
        </w:p>
        <w:p w14:paraId="6E0F6CEC">
          <w:pPr>
            <w:pStyle w:val="24"/>
            <w:tabs>
              <w:tab w:val="right" w:leader="dot" w:pos="8299"/>
              <w:tab w:val="clear" w:pos="7733"/>
            </w:tabs>
          </w:pPr>
          <w:r>
            <w:fldChar w:fldCharType="begin"/>
          </w:r>
          <w:r>
            <w:instrText xml:space="preserve"> HYPERLINK \l "__RefHeading___Toc13372_1983119206" \h </w:instrText>
          </w:r>
          <w:r>
            <w:fldChar w:fldCharType="separate"/>
          </w:r>
          <w:r>
            <w:rPr>
              <w:rStyle w:val="169"/>
            </w:rPr>
            <w:t>（三）纠纷处理</w:t>
          </w:r>
          <w:r>
            <w:rPr>
              <w:rStyle w:val="169"/>
            </w:rPr>
            <w:tab/>
          </w:r>
          <w:r>
            <w:rPr>
              <w:rStyle w:val="169"/>
            </w:rPr>
            <w:t>7</w:t>
          </w:r>
          <w:r>
            <w:rPr>
              <w:rStyle w:val="169"/>
            </w:rPr>
            <w:fldChar w:fldCharType="end"/>
          </w:r>
        </w:p>
        <w:p w14:paraId="60D28602">
          <w:pPr>
            <w:pStyle w:val="33"/>
            <w:tabs>
              <w:tab w:val="right" w:leader="dot" w:pos="8299"/>
              <w:tab w:val="clear" w:pos="8017"/>
            </w:tabs>
          </w:pPr>
          <w:r>
            <w:fldChar w:fldCharType="begin"/>
          </w:r>
          <w:r>
            <w:instrText xml:space="preserve"> HYPERLINK \l "__RefHeading___Toc13374_1983119206" \h </w:instrText>
          </w:r>
          <w:r>
            <w:fldChar w:fldCharType="separate"/>
          </w:r>
          <w:r>
            <w:rPr>
              <w:rStyle w:val="169"/>
            </w:rPr>
            <w:t>三、商务要求</w:t>
          </w:r>
          <w:r>
            <w:rPr>
              <w:rStyle w:val="169"/>
            </w:rPr>
            <w:tab/>
          </w:r>
          <w:r>
            <w:rPr>
              <w:rStyle w:val="169"/>
            </w:rPr>
            <w:t>7</w:t>
          </w:r>
          <w:r>
            <w:rPr>
              <w:rStyle w:val="169"/>
            </w:rPr>
            <w:fldChar w:fldCharType="end"/>
          </w:r>
        </w:p>
        <w:p w14:paraId="076BD744">
          <w:pPr>
            <w:pStyle w:val="33"/>
            <w:tabs>
              <w:tab w:val="right" w:leader="dot" w:pos="8299"/>
              <w:tab w:val="clear" w:pos="8017"/>
            </w:tabs>
          </w:pPr>
          <w:r>
            <w:fldChar w:fldCharType="begin"/>
          </w:r>
          <w:r>
            <w:instrText xml:space="preserve"> HYPERLINK \l "__RefHeading___Toc13376_1983119206" \h </w:instrText>
          </w:r>
          <w:r>
            <w:fldChar w:fldCharType="separate"/>
          </w:r>
          <w:r>
            <w:rPr>
              <w:rStyle w:val="169"/>
            </w:rPr>
            <w:t>四、报价要求</w:t>
          </w:r>
          <w:r>
            <w:rPr>
              <w:rStyle w:val="169"/>
            </w:rPr>
            <w:tab/>
          </w:r>
          <w:r>
            <w:rPr>
              <w:rStyle w:val="169"/>
            </w:rPr>
            <w:t>8</w:t>
          </w:r>
          <w:r>
            <w:rPr>
              <w:rStyle w:val="169"/>
            </w:rPr>
            <w:fldChar w:fldCharType="end"/>
          </w:r>
        </w:p>
        <w:p w14:paraId="4F2E0BB1">
          <w:pPr>
            <w:pStyle w:val="28"/>
            <w:tabs>
              <w:tab w:val="right" w:leader="dot" w:pos="8299"/>
              <w:tab w:val="clear" w:pos="8300"/>
            </w:tabs>
          </w:pPr>
          <w:r>
            <w:fldChar w:fldCharType="begin"/>
          </w:r>
          <w:r>
            <w:instrText xml:space="preserve"> HYPERLINK \l "__RefHeading___Toc13378_1983119206" \h </w:instrText>
          </w:r>
          <w:r>
            <w:fldChar w:fldCharType="separate"/>
          </w:r>
          <w:r>
            <w:rPr>
              <w:rStyle w:val="169"/>
            </w:rPr>
            <w:t>第三章 评标办法及评分标准</w:t>
          </w:r>
          <w:r>
            <w:rPr>
              <w:rStyle w:val="169"/>
            </w:rPr>
            <w:tab/>
          </w:r>
          <w:r>
            <w:rPr>
              <w:rStyle w:val="169"/>
            </w:rPr>
            <w:t>9</w:t>
          </w:r>
          <w:r>
            <w:rPr>
              <w:rStyle w:val="169"/>
            </w:rPr>
            <w:fldChar w:fldCharType="end"/>
          </w:r>
        </w:p>
        <w:p w14:paraId="348363C9">
          <w:pPr>
            <w:pStyle w:val="33"/>
            <w:tabs>
              <w:tab w:val="right" w:leader="dot" w:pos="8299"/>
              <w:tab w:val="clear" w:pos="8017"/>
            </w:tabs>
          </w:pPr>
          <w:r>
            <w:fldChar w:fldCharType="begin"/>
          </w:r>
          <w:r>
            <w:instrText xml:space="preserve"> HYPERLINK \l "__RefHeading___Toc13380_1983119206" \h </w:instrText>
          </w:r>
          <w:r>
            <w:fldChar w:fldCharType="separate"/>
          </w:r>
          <w:r>
            <w:rPr>
              <w:rStyle w:val="169"/>
            </w:rPr>
            <w:t>一、总则</w:t>
          </w:r>
          <w:r>
            <w:rPr>
              <w:rStyle w:val="169"/>
            </w:rPr>
            <w:tab/>
          </w:r>
          <w:r>
            <w:rPr>
              <w:rStyle w:val="169"/>
            </w:rPr>
            <w:t>9</w:t>
          </w:r>
          <w:r>
            <w:rPr>
              <w:rStyle w:val="169"/>
            </w:rPr>
            <w:fldChar w:fldCharType="end"/>
          </w:r>
        </w:p>
        <w:p w14:paraId="2F97F1BC">
          <w:pPr>
            <w:pStyle w:val="33"/>
            <w:tabs>
              <w:tab w:val="right" w:leader="dot" w:pos="8299"/>
              <w:tab w:val="clear" w:pos="8017"/>
            </w:tabs>
          </w:pPr>
          <w:r>
            <w:fldChar w:fldCharType="begin"/>
          </w:r>
          <w:r>
            <w:instrText xml:space="preserve"> HYPERLINK \l "__RefHeading___Toc13382_1983119206" \h </w:instrText>
          </w:r>
          <w:r>
            <w:fldChar w:fldCharType="separate"/>
          </w:r>
          <w:r>
            <w:rPr>
              <w:rStyle w:val="169"/>
            </w:rPr>
            <w:t>二、评标内容及标准</w:t>
          </w:r>
          <w:r>
            <w:rPr>
              <w:rStyle w:val="169"/>
            </w:rPr>
            <w:tab/>
          </w:r>
          <w:r>
            <w:rPr>
              <w:rStyle w:val="169"/>
            </w:rPr>
            <w:t>9</w:t>
          </w:r>
          <w:r>
            <w:rPr>
              <w:rStyle w:val="169"/>
            </w:rPr>
            <w:fldChar w:fldCharType="end"/>
          </w:r>
          <w:r>
            <w:rPr>
              <w:rStyle w:val="169"/>
            </w:rPr>
            <w:fldChar w:fldCharType="end"/>
          </w:r>
        </w:p>
      </w:sdtContent>
    </w:sdt>
    <w:p w14:paraId="7321795C">
      <w:r>
        <w:br w:type="page"/>
      </w:r>
    </w:p>
    <w:p w14:paraId="6639A3DF">
      <w:pPr>
        <w:pStyle w:val="4"/>
        <w:spacing w:before="0"/>
        <w:rPr>
          <w:lang w:eastAsia="zh-CN"/>
        </w:rPr>
      </w:pPr>
      <w:bookmarkStart w:id="1" w:name="__RefHeading___Toc13346_1983119206"/>
      <w:bookmarkEnd w:id="1"/>
      <w:r>
        <w:rPr>
          <w:lang w:eastAsia="zh-CN"/>
        </w:rPr>
        <w:t>第一章  招标公告</w:t>
      </w:r>
    </w:p>
    <w:p w14:paraId="4C509FF7">
      <w:pPr>
        <w:ind w:firstLine="480"/>
        <w:rPr>
          <w:lang w:eastAsia="zh-CN"/>
        </w:rPr>
      </w:pPr>
      <w:r>
        <w:rPr>
          <w:rFonts w:hint="eastAsia"/>
          <w:lang w:eastAsia="zh-CN"/>
        </w:rPr>
        <w:t>自贡丰源康泰健康科技有限公司</w:t>
      </w:r>
      <w:r>
        <w:rPr>
          <w:lang w:eastAsia="zh-CN"/>
        </w:rPr>
        <w:t>现就</w:t>
      </w:r>
      <w:r>
        <w:rPr>
          <w:rFonts w:hint="eastAsia"/>
          <w:lang w:eastAsia="zh-CN"/>
        </w:rPr>
        <w:t>自贡丰源康泰健康科技有限公司</w:t>
      </w:r>
      <w:r>
        <w:rPr>
          <w:lang w:eastAsia="zh-CN"/>
        </w:rPr>
        <w:t>视光中心运营服务项目进行自行采购，欢迎中华人民共和国境内的合格供应商前来参加投标。</w:t>
      </w:r>
    </w:p>
    <w:p w14:paraId="4C15AD88">
      <w:pPr>
        <w:pStyle w:val="5"/>
        <w:rPr>
          <w:lang w:eastAsia="zh-CN"/>
        </w:rPr>
      </w:pPr>
      <w:bookmarkStart w:id="2" w:name="__RefHeading___Toc13348_1983119206"/>
      <w:bookmarkEnd w:id="2"/>
      <w:r>
        <w:rPr>
          <w:lang w:eastAsia="zh-CN"/>
        </w:rPr>
        <w:t>一、项目编号</w:t>
      </w:r>
    </w:p>
    <w:p w14:paraId="76AF1C56">
      <w:pPr>
        <w:ind w:firstLine="720" w:firstLineChars="300"/>
        <w:jc w:val="both"/>
        <w:rPr>
          <w:rFonts w:hint="default"/>
          <w:color w:val="auto"/>
          <w:lang w:val="en-US" w:eastAsia="zh-CN"/>
        </w:rPr>
      </w:pPr>
      <w:bookmarkStart w:id="3" w:name="__RefHeading___Toc13350_1983119206"/>
      <w:bookmarkEnd w:id="3"/>
      <w:r>
        <w:rPr>
          <w:rFonts w:hint="eastAsia"/>
          <w:color w:val="auto"/>
          <w:lang w:eastAsia="zh-CN"/>
        </w:rPr>
        <w:t>ZGFY</w:t>
      </w:r>
      <w:r>
        <w:rPr>
          <w:rFonts w:hint="eastAsia"/>
          <w:color w:val="auto"/>
          <w:lang w:val="en-US" w:eastAsia="zh-CN"/>
        </w:rPr>
        <w:t>KTZB</w:t>
      </w:r>
      <w:r>
        <w:rPr>
          <w:rFonts w:hint="eastAsia"/>
          <w:color w:val="auto"/>
          <w:lang w:eastAsia="zh-CN"/>
        </w:rPr>
        <w:t>0</w:t>
      </w:r>
      <w:r>
        <w:rPr>
          <w:rFonts w:hint="eastAsia"/>
          <w:color w:val="auto"/>
          <w:lang w:val="en-US" w:eastAsia="zh-CN"/>
        </w:rPr>
        <w:t>2</w:t>
      </w:r>
    </w:p>
    <w:p w14:paraId="36DEF898">
      <w:pPr>
        <w:pStyle w:val="5"/>
        <w:rPr>
          <w:lang w:eastAsia="zh-CN"/>
        </w:rPr>
      </w:pPr>
      <w:r>
        <w:rPr>
          <w:lang w:eastAsia="zh-CN"/>
        </w:rPr>
        <w:t>二、采购方式</w:t>
      </w:r>
    </w:p>
    <w:p w14:paraId="22F3A188">
      <w:pPr>
        <w:ind w:firstLine="480"/>
        <w:rPr>
          <w:lang w:eastAsia="zh-CN"/>
        </w:rPr>
      </w:pPr>
      <w:r>
        <w:rPr>
          <w:lang w:eastAsia="zh-CN"/>
        </w:rPr>
        <w:t>公开招标/竞争性磋商</w:t>
      </w:r>
    </w:p>
    <w:p w14:paraId="7788AEBA">
      <w:pPr>
        <w:pStyle w:val="5"/>
      </w:pPr>
      <w:bookmarkStart w:id="4" w:name="__RefHeading___Toc13352_1983119206"/>
      <w:bookmarkEnd w:id="4"/>
      <w:r>
        <w:t>三、招标项目概况</w:t>
      </w:r>
    </w:p>
    <w:tbl>
      <w:tblPr>
        <w:tblStyle w:val="39"/>
        <w:tblW w:w="8522" w:type="dxa"/>
        <w:jc w:val="center"/>
        <w:tblLayout w:type="autofit"/>
        <w:tblCellMar>
          <w:top w:w="15" w:type="dxa"/>
          <w:left w:w="15" w:type="dxa"/>
          <w:bottom w:w="15" w:type="dxa"/>
          <w:right w:w="15" w:type="dxa"/>
        </w:tblCellMar>
      </w:tblPr>
      <w:tblGrid>
        <w:gridCol w:w="688"/>
        <w:gridCol w:w="2532"/>
        <w:gridCol w:w="4612"/>
        <w:gridCol w:w="690"/>
      </w:tblGrid>
      <w:tr w14:paraId="409FEA6A">
        <w:tblPrEx>
          <w:tblCellMar>
            <w:top w:w="15" w:type="dxa"/>
            <w:left w:w="15" w:type="dxa"/>
            <w:bottom w:w="15" w:type="dxa"/>
            <w:right w:w="15" w:type="dxa"/>
          </w:tblCellMar>
        </w:tblPrEx>
        <w:trPr>
          <w:tblHeader/>
          <w:jc w:val="center"/>
        </w:trPr>
        <w:tc>
          <w:tcPr>
            <w:tcW w:w="688" w:type="dxa"/>
            <w:tcBorders>
              <w:top w:val="single" w:color="000000" w:sz="2" w:space="0"/>
              <w:left w:val="single" w:color="000000" w:sz="2" w:space="0"/>
              <w:bottom w:val="single" w:color="000000" w:sz="2" w:space="0"/>
              <w:right w:val="single" w:color="000000" w:sz="2" w:space="0"/>
            </w:tcBorders>
            <w:tcMar>
              <w:top w:w="30" w:type="dxa"/>
              <w:left w:w="55" w:type="dxa"/>
              <w:bottom w:w="30" w:type="dxa"/>
              <w:right w:w="55" w:type="dxa"/>
            </w:tcMar>
            <w:vAlign w:val="center"/>
          </w:tcPr>
          <w:p w14:paraId="51A40AFB">
            <w:pPr>
              <w:pStyle w:val="36"/>
              <w:snapToGrid w:val="0"/>
              <w:spacing w:before="0" w:beforeAutospacing="0" w:after="0" w:afterAutospacing="0" w:line="240" w:lineRule="auto"/>
              <w:jc w:val="center"/>
              <w:rPr>
                <w:b/>
              </w:rPr>
            </w:pPr>
            <w:r>
              <w:rPr>
                <w:rFonts w:hint="eastAsia"/>
                <w:b/>
                <w:szCs w:val="24"/>
              </w:rPr>
              <w:t>序号</w:t>
            </w:r>
          </w:p>
        </w:tc>
        <w:tc>
          <w:tcPr>
            <w:tcW w:w="2532" w:type="dxa"/>
            <w:tcBorders>
              <w:top w:val="single" w:color="000000" w:sz="2" w:space="0"/>
              <w:left w:val="single" w:color="000000" w:sz="2" w:space="0"/>
              <w:bottom w:val="single" w:color="000000" w:sz="2" w:space="0"/>
              <w:right w:val="single" w:color="000000" w:sz="2" w:space="0"/>
            </w:tcBorders>
            <w:tcMar>
              <w:top w:w="30" w:type="dxa"/>
              <w:left w:w="55" w:type="dxa"/>
              <w:bottom w:w="30" w:type="dxa"/>
              <w:right w:w="55" w:type="dxa"/>
            </w:tcMar>
            <w:vAlign w:val="center"/>
          </w:tcPr>
          <w:p w14:paraId="1D46314D">
            <w:pPr>
              <w:pStyle w:val="36"/>
              <w:snapToGrid w:val="0"/>
              <w:spacing w:before="0" w:beforeAutospacing="0" w:after="0" w:afterAutospacing="0" w:line="240" w:lineRule="auto"/>
              <w:jc w:val="center"/>
              <w:rPr>
                <w:b/>
              </w:rPr>
            </w:pPr>
            <w:r>
              <w:rPr>
                <w:rFonts w:hint="eastAsia"/>
                <w:b/>
                <w:szCs w:val="24"/>
                <w:lang w:eastAsia="zh-CN"/>
              </w:rPr>
              <w:t>项目名称</w:t>
            </w:r>
          </w:p>
        </w:tc>
        <w:tc>
          <w:tcPr>
            <w:tcW w:w="4611" w:type="dxa"/>
            <w:tcBorders>
              <w:top w:val="single" w:color="000000" w:sz="2" w:space="0"/>
              <w:left w:val="single" w:color="000000" w:sz="2" w:space="0"/>
              <w:bottom w:val="single" w:color="000000" w:sz="2" w:space="0"/>
              <w:right w:val="single" w:color="000000" w:sz="2" w:space="0"/>
            </w:tcBorders>
            <w:tcMar>
              <w:top w:w="30" w:type="dxa"/>
              <w:left w:w="55" w:type="dxa"/>
              <w:bottom w:w="30" w:type="dxa"/>
              <w:right w:w="55" w:type="dxa"/>
            </w:tcMar>
            <w:vAlign w:val="center"/>
          </w:tcPr>
          <w:p w14:paraId="28DE22F4">
            <w:pPr>
              <w:pStyle w:val="36"/>
              <w:snapToGrid w:val="0"/>
              <w:spacing w:before="0" w:beforeAutospacing="0" w:after="0" w:afterAutospacing="0" w:line="240" w:lineRule="auto"/>
              <w:jc w:val="center"/>
              <w:rPr>
                <w:b/>
                <w:lang w:eastAsia="zh-CN"/>
              </w:rPr>
            </w:pPr>
            <w:r>
              <w:rPr>
                <w:rFonts w:hint="eastAsia"/>
                <w:b/>
                <w:szCs w:val="24"/>
              </w:rPr>
              <w:t>项目</w:t>
            </w:r>
            <w:r>
              <w:rPr>
                <w:rFonts w:hint="eastAsia"/>
                <w:b/>
                <w:szCs w:val="24"/>
                <w:lang w:eastAsia="zh-CN"/>
              </w:rPr>
              <w:t>要求</w:t>
            </w:r>
          </w:p>
        </w:tc>
        <w:tc>
          <w:tcPr>
            <w:tcW w:w="690" w:type="dxa"/>
            <w:tcBorders>
              <w:top w:val="single" w:color="000000" w:sz="2" w:space="0"/>
              <w:left w:val="single" w:color="000000" w:sz="2" w:space="0"/>
              <w:bottom w:val="single" w:color="000000" w:sz="2" w:space="0"/>
              <w:right w:val="single" w:color="000000" w:sz="2" w:space="0"/>
            </w:tcBorders>
            <w:tcMar>
              <w:top w:w="30" w:type="dxa"/>
              <w:left w:w="55" w:type="dxa"/>
              <w:bottom w:w="30" w:type="dxa"/>
              <w:right w:w="55" w:type="dxa"/>
            </w:tcMar>
            <w:vAlign w:val="center"/>
          </w:tcPr>
          <w:p w14:paraId="6CEFA528">
            <w:pPr>
              <w:pStyle w:val="36"/>
              <w:snapToGrid w:val="0"/>
              <w:spacing w:before="0" w:beforeAutospacing="0" w:after="0" w:afterAutospacing="0" w:line="240" w:lineRule="auto"/>
              <w:jc w:val="center"/>
              <w:rPr>
                <w:b/>
              </w:rPr>
            </w:pPr>
            <w:r>
              <w:rPr>
                <w:rFonts w:hint="eastAsia"/>
                <w:b/>
                <w:szCs w:val="24"/>
              </w:rPr>
              <w:t>服务期限</w:t>
            </w:r>
          </w:p>
        </w:tc>
      </w:tr>
      <w:tr w14:paraId="3EE667B2">
        <w:tblPrEx>
          <w:tblCellMar>
            <w:top w:w="15" w:type="dxa"/>
            <w:left w:w="15" w:type="dxa"/>
            <w:bottom w:w="15" w:type="dxa"/>
            <w:right w:w="15" w:type="dxa"/>
          </w:tblCellMar>
        </w:tblPrEx>
        <w:trPr>
          <w:jc w:val="center"/>
        </w:trPr>
        <w:tc>
          <w:tcPr>
            <w:tcW w:w="688" w:type="dxa"/>
            <w:tcBorders>
              <w:top w:val="single" w:color="000000" w:sz="2" w:space="0"/>
              <w:left w:val="single" w:color="000000" w:sz="2" w:space="0"/>
              <w:bottom w:val="single" w:color="000000" w:sz="2" w:space="0"/>
              <w:right w:val="single" w:color="000000" w:sz="2" w:space="0"/>
            </w:tcBorders>
            <w:tcMar>
              <w:top w:w="30" w:type="dxa"/>
              <w:left w:w="55" w:type="dxa"/>
              <w:bottom w:w="30" w:type="dxa"/>
              <w:right w:w="55" w:type="dxa"/>
            </w:tcMar>
            <w:vAlign w:val="center"/>
          </w:tcPr>
          <w:p w14:paraId="51F0BA26">
            <w:pPr>
              <w:pStyle w:val="36"/>
              <w:snapToGrid w:val="0"/>
              <w:spacing w:before="0" w:beforeAutospacing="0" w:after="0" w:afterAutospacing="0" w:line="240" w:lineRule="auto"/>
              <w:jc w:val="center"/>
            </w:pPr>
            <w:r>
              <w:rPr>
                <w:rFonts w:hint="eastAsia"/>
                <w:szCs w:val="24"/>
              </w:rPr>
              <w:t>1</w:t>
            </w:r>
          </w:p>
        </w:tc>
        <w:tc>
          <w:tcPr>
            <w:tcW w:w="2532" w:type="dxa"/>
            <w:tcBorders>
              <w:top w:val="single" w:color="000000" w:sz="2" w:space="0"/>
              <w:left w:val="single" w:color="000000" w:sz="2" w:space="0"/>
              <w:bottom w:val="single" w:color="000000" w:sz="2" w:space="0"/>
              <w:right w:val="single" w:color="000000" w:sz="2" w:space="0"/>
            </w:tcBorders>
            <w:tcMar>
              <w:top w:w="30" w:type="dxa"/>
              <w:left w:w="55" w:type="dxa"/>
              <w:bottom w:w="30" w:type="dxa"/>
              <w:right w:w="55" w:type="dxa"/>
            </w:tcMar>
            <w:vAlign w:val="center"/>
          </w:tcPr>
          <w:p w14:paraId="1B223540">
            <w:pPr>
              <w:pStyle w:val="36"/>
              <w:snapToGrid w:val="0"/>
              <w:spacing w:before="0" w:beforeAutospacing="0" w:after="0" w:afterAutospacing="0" w:line="240" w:lineRule="auto"/>
              <w:jc w:val="center"/>
              <w:rPr>
                <w:lang w:eastAsia="zh-CN"/>
              </w:rPr>
            </w:pPr>
            <w:r>
              <w:rPr>
                <w:rFonts w:hint="eastAsia"/>
                <w:lang w:eastAsia="zh-CN"/>
              </w:rPr>
              <w:t>自贡丰源康泰健康科技有限公司视光中心运营服务</w:t>
            </w:r>
          </w:p>
        </w:tc>
        <w:tc>
          <w:tcPr>
            <w:tcW w:w="4611" w:type="dxa"/>
            <w:tcBorders>
              <w:top w:val="single" w:color="000000" w:sz="2" w:space="0"/>
              <w:left w:val="single" w:color="000000" w:sz="2" w:space="0"/>
              <w:bottom w:val="single" w:color="000000" w:sz="2" w:space="0"/>
              <w:right w:val="single" w:color="000000" w:sz="2" w:space="0"/>
            </w:tcBorders>
            <w:tcMar>
              <w:top w:w="30" w:type="dxa"/>
              <w:left w:w="55" w:type="dxa"/>
              <w:bottom w:w="30" w:type="dxa"/>
              <w:right w:w="55" w:type="dxa"/>
            </w:tcMar>
            <w:vAlign w:val="center"/>
          </w:tcPr>
          <w:p w14:paraId="0A618BE1">
            <w:pPr>
              <w:ind w:firstLine="480"/>
              <w:rPr>
                <w:lang w:eastAsia="zh-CN"/>
              </w:rPr>
            </w:pPr>
            <w:r>
              <w:rPr>
                <w:rFonts w:hint="eastAsia"/>
                <w:szCs w:val="24"/>
                <w:lang w:eastAsia="zh-CN"/>
              </w:rPr>
              <w:t>围绕近视和有眼健康需求人群服务，开展</w:t>
            </w:r>
            <w:r>
              <w:rPr>
                <w:lang w:eastAsia="zh-CN"/>
              </w:rPr>
              <w:t>项目内容包括但不限于：医学验光配镜服务、儿童青少年近视防控服务、角膜接触镜验配服务、低视力康复服务、视功能训练服务等。服务商需提供完整的视光中心运营管理方案，包括设备配置、人员配备、服务流程设计、质量控制体系等。</w:t>
            </w:r>
          </w:p>
        </w:tc>
        <w:tc>
          <w:tcPr>
            <w:tcW w:w="690" w:type="dxa"/>
            <w:tcBorders>
              <w:top w:val="single" w:color="000000" w:sz="2" w:space="0"/>
              <w:left w:val="single" w:color="000000" w:sz="2" w:space="0"/>
              <w:bottom w:val="single" w:color="000000" w:sz="2" w:space="0"/>
              <w:right w:val="single" w:color="000000" w:sz="2" w:space="0"/>
            </w:tcBorders>
            <w:tcMar>
              <w:top w:w="30" w:type="dxa"/>
              <w:left w:w="55" w:type="dxa"/>
              <w:bottom w:w="30" w:type="dxa"/>
              <w:right w:w="55" w:type="dxa"/>
            </w:tcMar>
            <w:vAlign w:val="center"/>
          </w:tcPr>
          <w:p w14:paraId="5B3FEFFB">
            <w:pPr>
              <w:pStyle w:val="36"/>
              <w:snapToGrid w:val="0"/>
              <w:spacing w:before="0" w:beforeAutospacing="0" w:after="0" w:afterAutospacing="0" w:line="240" w:lineRule="auto"/>
              <w:jc w:val="center"/>
            </w:pPr>
            <w:r>
              <w:rPr>
                <w:rFonts w:hint="eastAsia"/>
                <w:szCs w:val="24"/>
              </w:rPr>
              <w:t>3年</w:t>
            </w:r>
          </w:p>
        </w:tc>
      </w:tr>
    </w:tbl>
    <w:p w14:paraId="2824E6A4">
      <w:pPr>
        <w:pStyle w:val="5"/>
      </w:pPr>
      <w:bookmarkStart w:id="5" w:name="__RefHeading___Toc13354_1983119206"/>
      <w:bookmarkEnd w:id="5"/>
      <w:r>
        <w:t>四、供应商资格要求</w:t>
      </w:r>
    </w:p>
    <w:p w14:paraId="2AB0E64A">
      <w:pPr>
        <w:ind w:firstLine="480"/>
        <w:rPr>
          <w:lang w:eastAsia="zh-CN"/>
        </w:rPr>
      </w:pPr>
      <w:r>
        <w:rPr>
          <w:lang w:eastAsia="zh-CN"/>
        </w:rPr>
        <w:t>1、具有独立承担民事责任的能力；</w:t>
      </w:r>
    </w:p>
    <w:p w14:paraId="5F7F6E03">
      <w:pPr>
        <w:ind w:firstLine="480"/>
        <w:rPr>
          <w:lang w:eastAsia="zh-CN"/>
        </w:rPr>
      </w:pPr>
      <w:r>
        <w:rPr>
          <w:lang w:eastAsia="zh-CN"/>
        </w:rPr>
        <w:t>2、具有良好的商业信誉和健全的财务会计制度；</w:t>
      </w:r>
    </w:p>
    <w:p w14:paraId="36AC4DB8">
      <w:pPr>
        <w:ind w:firstLine="480"/>
        <w:rPr>
          <w:lang w:eastAsia="zh-CN"/>
        </w:rPr>
      </w:pPr>
      <w:r>
        <w:rPr>
          <w:lang w:eastAsia="zh-CN"/>
        </w:rPr>
        <w:t>3、具有履行合同所必需的设备和专业技术能力，具有本项目需求的供应能力；</w:t>
      </w:r>
    </w:p>
    <w:p w14:paraId="0B2E6383">
      <w:pPr>
        <w:ind w:firstLine="480"/>
        <w:rPr>
          <w:lang w:eastAsia="zh-CN"/>
        </w:rPr>
      </w:pPr>
      <w:r>
        <w:rPr>
          <w:lang w:eastAsia="zh-CN"/>
        </w:rPr>
        <w:t>4、具有依法缴纳税收的良好记录；</w:t>
      </w:r>
    </w:p>
    <w:p w14:paraId="0DAC6000">
      <w:pPr>
        <w:ind w:firstLine="480"/>
        <w:rPr>
          <w:lang w:eastAsia="zh-CN"/>
        </w:rPr>
      </w:pPr>
      <w:r>
        <w:rPr>
          <w:lang w:eastAsia="zh-CN"/>
        </w:rPr>
        <w:t>5、参加此项采购活动前三年内，在经营活动中没有重大违法记录；</w:t>
      </w:r>
    </w:p>
    <w:p w14:paraId="28EB9773">
      <w:pPr>
        <w:ind w:firstLine="480"/>
        <w:rPr>
          <w:lang w:eastAsia="zh-CN"/>
        </w:rPr>
      </w:pPr>
      <w:r>
        <w:rPr>
          <w:lang w:eastAsia="zh-CN"/>
        </w:rPr>
        <w:t>6、具有</w:t>
      </w:r>
      <w:r>
        <w:rPr>
          <w:rFonts w:hint="eastAsia"/>
          <w:lang w:eastAsia="zh-CN"/>
        </w:rPr>
        <w:t>第三类</w:t>
      </w:r>
      <w:r>
        <w:rPr>
          <w:lang w:eastAsia="zh-CN"/>
        </w:rPr>
        <w:t>医疗器械经营许可证或第二类医疗器械经营备案凭证；</w:t>
      </w:r>
    </w:p>
    <w:p w14:paraId="711DDA23">
      <w:pPr>
        <w:ind w:firstLine="480"/>
        <w:rPr>
          <w:lang w:eastAsia="zh-CN"/>
        </w:rPr>
      </w:pPr>
      <w:r>
        <w:rPr>
          <w:lang w:eastAsia="zh-CN"/>
        </w:rPr>
        <w:t>7、本项目不接受联合体投标。</w:t>
      </w:r>
    </w:p>
    <w:p w14:paraId="214655DF">
      <w:pPr>
        <w:pStyle w:val="5"/>
        <w:rPr>
          <w:lang w:eastAsia="zh-CN"/>
        </w:rPr>
      </w:pPr>
      <w:bookmarkStart w:id="6" w:name="__RefHeading___Toc13356_1983119206"/>
      <w:bookmarkEnd w:id="6"/>
      <w:r>
        <w:rPr>
          <w:lang w:eastAsia="zh-CN"/>
        </w:rPr>
        <w:t>五、投标截止时间和地点</w:t>
      </w:r>
    </w:p>
    <w:p w14:paraId="225907BB">
      <w:pPr>
        <w:spacing w:line="360" w:lineRule="auto"/>
        <w:ind w:firstLine="480"/>
        <w:rPr>
          <w:kern w:val="2"/>
        </w:rPr>
      </w:pPr>
      <w:r>
        <w:t>供应商应</w:t>
      </w:r>
      <w:r>
        <w:rPr>
          <w:color w:val="auto"/>
        </w:rPr>
        <w:t>2026年8月</w:t>
      </w:r>
      <w:r>
        <w:rPr>
          <w:rFonts w:hint="eastAsia"/>
          <w:color w:val="auto"/>
          <w:lang w:val="en-US" w:eastAsia="zh-CN"/>
        </w:rPr>
        <w:t>19</w:t>
      </w:r>
      <w:r>
        <w:rPr>
          <w:color w:val="auto"/>
        </w:rPr>
        <w:t>日17时</w:t>
      </w:r>
      <w:r>
        <w:t>前将投标文件</w:t>
      </w:r>
      <w:r>
        <w:rPr>
          <w:rFonts w:hint="eastAsia"/>
          <w:color w:val="auto"/>
          <w:lang w:eastAsia="zh-CN"/>
        </w:rPr>
        <w:t>通过邮件发送</w:t>
      </w:r>
      <w:r>
        <w:rPr>
          <w:rFonts w:hint="eastAsia"/>
          <w:kern w:val="2"/>
          <w:lang w:eastAsia="zh-CN"/>
        </w:rPr>
        <w:t>至自贡丰源康泰健康科技有限公司（3089502939@qq.com）</w:t>
      </w:r>
      <w:r>
        <w:rPr>
          <w:kern w:val="2"/>
        </w:rPr>
        <w:t>，逾期送达或未密封将拒绝接收。</w:t>
      </w:r>
    </w:p>
    <w:p w14:paraId="4C8A61DB">
      <w:pPr>
        <w:ind w:firstLine="480"/>
        <w:rPr>
          <w:lang w:eastAsia="zh-CN"/>
        </w:rPr>
      </w:pPr>
      <w:r>
        <w:rPr>
          <w:lang w:eastAsia="zh-CN"/>
        </w:rPr>
        <w:t>时前将投标文件密封递交至自贡市妇幼保健院采购办公室（地址：自贡市自流井区檀木林大街2号），逾期送达或未密封将拒绝接收。</w:t>
      </w:r>
    </w:p>
    <w:p w14:paraId="73D8EEFD">
      <w:pPr>
        <w:pStyle w:val="5"/>
        <w:rPr>
          <w:lang w:eastAsia="zh-CN"/>
        </w:rPr>
      </w:pPr>
      <w:bookmarkStart w:id="7" w:name="__RefHeading___Toc13358_1983119206"/>
      <w:bookmarkEnd w:id="7"/>
      <w:r>
        <w:rPr>
          <w:lang w:eastAsia="zh-CN"/>
        </w:rPr>
        <w:t>六、开标时间及地点</w:t>
      </w:r>
    </w:p>
    <w:p w14:paraId="64555758">
      <w:pPr>
        <w:widowControl w:val="0"/>
        <w:spacing w:line="360" w:lineRule="auto"/>
        <w:ind w:firstLine="480"/>
        <w:rPr>
          <w:kern w:val="2"/>
          <w:lang w:eastAsia="zh-CN"/>
        </w:rPr>
      </w:pPr>
      <w:r>
        <w:rPr>
          <w:kern w:val="2"/>
          <w:lang w:eastAsia="zh-CN"/>
        </w:rPr>
        <w:t>将于</w:t>
      </w:r>
      <w:r>
        <w:rPr>
          <w:color w:val="auto"/>
          <w:lang w:eastAsia="zh-CN"/>
        </w:rPr>
        <w:t>2026年8月</w:t>
      </w:r>
      <w:r>
        <w:rPr>
          <w:rFonts w:hint="eastAsia"/>
          <w:color w:val="auto"/>
          <w:lang w:val="en-US" w:eastAsia="zh-CN"/>
        </w:rPr>
        <w:t>20</w:t>
      </w:r>
      <w:r>
        <w:rPr>
          <w:color w:val="auto"/>
          <w:lang w:eastAsia="zh-CN"/>
        </w:rPr>
        <w:t>日09</w:t>
      </w:r>
      <w:r>
        <w:rPr>
          <w:color w:val="auto"/>
          <w:kern w:val="2"/>
          <w:lang w:eastAsia="zh-CN"/>
        </w:rPr>
        <w:t>时</w:t>
      </w:r>
      <w:r>
        <w:rPr>
          <w:kern w:val="2"/>
          <w:lang w:eastAsia="zh-CN"/>
        </w:rPr>
        <w:t>进行开标，开标地点为自贡丰源康泰健康科技有限公司会议室。投标人无需派员到场，投标人授权代表应于开标当</w:t>
      </w:r>
      <w:r>
        <w:rPr>
          <w:color w:val="auto"/>
          <w:kern w:val="2"/>
          <w:lang w:eastAsia="zh-CN"/>
        </w:rPr>
        <w:t>日</w:t>
      </w:r>
      <w:r>
        <w:rPr>
          <w:rFonts w:hint="eastAsia"/>
          <w:color w:val="auto"/>
          <w:kern w:val="2"/>
          <w:u w:val="single"/>
          <w:lang w:eastAsia="zh-CN"/>
        </w:rPr>
        <w:t>08</w:t>
      </w:r>
      <w:r>
        <w:rPr>
          <w:color w:val="auto"/>
          <w:kern w:val="2"/>
          <w:lang w:eastAsia="zh-CN"/>
        </w:rPr>
        <w:t>时至</w:t>
      </w:r>
      <w:r>
        <w:rPr>
          <w:rFonts w:hint="eastAsia"/>
          <w:color w:val="auto"/>
          <w:kern w:val="2"/>
          <w:u w:val="single"/>
          <w:lang w:eastAsia="zh-CN"/>
        </w:rPr>
        <w:t>18</w:t>
      </w:r>
      <w:r>
        <w:rPr>
          <w:color w:val="auto"/>
          <w:kern w:val="2"/>
          <w:lang w:eastAsia="zh-CN"/>
        </w:rPr>
        <w:t>时</w:t>
      </w:r>
      <w:r>
        <w:rPr>
          <w:kern w:val="2"/>
          <w:lang w:eastAsia="zh-CN"/>
        </w:rPr>
        <w:t>保持手机畅通，以便接收开标结果及进行异议确认。</w:t>
      </w:r>
    </w:p>
    <w:p w14:paraId="3904B957">
      <w:pPr>
        <w:pStyle w:val="5"/>
        <w:rPr>
          <w:lang w:eastAsia="zh-CN"/>
        </w:rPr>
      </w:pPr>
      <w:bookmarkStart w:id="8" w:name="__RefHeading___Toc13360_1983119206"/>
      <w:bookmarkEnd w:id="8"/>
      <w:r>
        <w:rPr>
          <w:lang w:eastAsia="zh-CN"/>
        </w:rPr>
        <w:t>七、联系方式</w:t>
      </w:r>
    </w:p>
    <w:p w14:paraId="05470771">
      <w:pPr>
        <w:spacing w:line="360" w:lineRule="auto"/>
        <w:ind w:firstLine="640"/>
        <w:rPr>
          <w:lang w:eastAsia="zh-CN"/>
        </w:rPr>
      </w:pPr>
      <w:r>
        <w:rPr>
          <w:lang w:eastAsia="zh-CN"/>
        </w:rPr>
        <w:t>采购人名称：</w:t>
      </w:r>
      <w:r>
        <w:rPr>
          <w:rFonts w:hint="eastAsia"/>
          <w:kern w:val="2"/>
          <w:lang w:eastAsia="zh-CN"/>
        </w:rPr>
        <w:t>自贡丰源康泰健康科技有限公司</w:t>
      </w:r>
    </w:p>
    <w:p w14:paraId="10F51C72">
      <w:pPr>
        <w:spacing w:line="360" w:lineRule="auto"/>
        <w:ind w:firstLine="640"/>
        <w:rPr>
          <w:lang w:eastAsia="zh-CN"/>
        </w:rPr>
      </w:pPr>
      <w:r>
        <w:rPr>
          <w:lang w:eastAsia="zh-CN"/>
        </w:rPr>
        <w:t>联系人：</w:t>
      </w:r>
      <w:r>
        <w:rPr>
          <w:rFonts w:hint="eastAsia"/>
          <w:lang w:eastAsia="zh-CN"/>
        </w:rPr>
        <w:t>严先生</w:t>
      </w:r>
    </w:p>
    <w:p w14:paraId="26510334">
      <w:pPr>
        <w:spacing w:line="360" w:lineRule="auto"/>
        <w:ind w:firstLine="640"/>
        <w:rPr>
          <w:lang w:eastAsia="zh-CN"/>
        </w:rPr>
      </w:pPr>
      <w:r>
        <w:rPr>
          <w:lang w:eastAsia="zh-CN"/>
        </w:rPr>
        <w:t>联系电话：</w:t>
      </w:r>
      <w:r>
        <w:rPr>
          <w:rFonts w:hint="eastAsia"/>
          <w:lang w:eastAsia="zh-CN"/>
        </w:rPr>
        <w:t>18282231394</w:t>
      </w:r>
      <w:r>
        <w:rPr>
          <w:rFonts w:hint="eastAsia"/>
          <w:lang w:eastAsia="zh-CN"/>
        </w:rPr>
        <w:tab/>
      </w:r>
      <w:r>
        <w:rPr>
          <w:rFonts w:hint="eastAsia"/>
          <w:lang w:eastAsia="zh-CN"/>
        </w:rPr>
        <w:tab/>
      </w:r>
    </w:p>
    <w:p w14:paraId="0CF4A7CD">
      <w:pPr>
        <w:spacing w:line="360" w:lineRule="auto"/>
        <w:ind w:right="60" w:firstLine="600"/>
        <w:rPr>
          <w:lang w:eastAsia="zh-CN"/>
        </w:rPr>
      </w:pPr>
      <w:r>
        <w:rPr>
          <w:lang w:eastAsia="zh-CN"/>
        </w:rPr>
        <w:t>地址：</w:t>
      </w:r>
      <w:r>
        <w:rPr>
          <w:rFonts w:hint="eastAsia"/>
          <w:lang w:eastAsia="zh-CN"/>
        </w:rPr>
        <w:t>自贡市妇幼保健院东部院区16楼1620室</w:t>
      </w:r>
    </w:p>
    <w:p w14:paraId="20D62902">
      <w:pPr>
        <w:rPr>
          <w:lang w:eastAsia="zh-CN"/>
        </w:rPr>
      </w:pPr>
    </w:p>
    <w:p w14:paraId="52EFFAC8">
      <w:pPr>
        <w:widowControl w:val="0"/>
        <w:spacing w:line="360" w:lineRule="auto"/>
        <w:jc w:val="right"/>
        <w:rPr>
          <w:kern w:val="2"/>
          <w:lang w:eastAsia="zh-CN"/>
        </w:rPr>
      </w:pPr>
      <w:r>
        <w:rPr>
          <w:rFonts w:hint="eastAsia"/>
          <w:kern w:val="2"/>
          <w:lang w:eastAsia="zh-CN"/>
        </w:rPr>
        <w:t>自贡丰源康泰健康科技有限公司</w:t>
      </w:r>
    </w:p>
    <w:p w14:paraId="5B74A851">
      <w:pPr>
        <w:jc w:val="right"/>
        <w:rPr>
          <w:lang w:eastAsia="zh-CN"/>
        </w:rPr>
      </w:pPr>
      <w:r>
        <w:rPr>
          <w:lang w:eastAsia="zh-CN"/>
        </w:rPr>
        <w:t>2026年8月1</w:t>
      </w:r>
      <w:r>
        <w:rPr>
          <w:rFonts w:hint="eastAsia"/>
          <w:lang w:val="en-US" w:eastAsia="zh-CN"/>
        </w:rPr>
        <w:t>7</w:t>
      </w:r>
      <w:bookmarkStart w:id="20" w:name="_GoBack"/>
      <w:bookmarkEnd w:id="20"/>
      <w:r>
        <w:rPr>
          <w:lang w:eastAsia="zh-CN"/>
        </w:rPr>
        <w:t>日</w:t>
      </w:r>
    </w:p>
    <w:p w14:paraId="256A0737">
      <w:pPr>
        <w:rPr>
          <w:lang w:eastAsia="zh-CN"/>
        </w:rPr>
      </w:pPr>
      <w:r>
        <w:rPr>
          <w:lang w:eastAsia="zh-CN"/>
        </w:rPr>
        <w:br w:type="page"/>
      </w:r>
    </w:p>
    <w:p w14:paraId="6FA39003">
      <w:pPr>
        <w:pStyle w:val="4"/>
        <w:spacing w:before="0"/>
        <w:rPr>
          <w:lang w:eastAsia="zh-CN"/>
        </w:rPr>
      </w:pPr>
      <w:bookmarkStart w:id="9" w:name="__RefHeading___Toc13362_1983119206"/>
      <w:bookmarkEnd w:id="9"/>
      <w:r>
        <w:rPr>
          <w:lang w:eastAsia="zh-CN"/>
        </w:rPr>
        <w:t>第二章  项目内容及需求</w:t>
      </w:r>
    </w:p>
    <w:p w14:paraId="70D8A46B">
      <w:pPr>
        <w:pStyle w:val="5"/>
        <w:rPr>
          <w:lang w:eastAsia="zh-CN"/>
        </w:rPr>
      </w:pPr>
      <w:bookmarkStart w:id="10" w:name="__RefHeading___Toc13364_1983119206"/>
      <w:bookmarkEnd w:id="10"/>
      <w:r>
        <w:rPr>
          <w:lang w:eastAsia="zh-CN"/>
        </w:rPr>
        <w:t>一、项目概况</w:t>
      </w:r>
    </w:p>
    <w:p w14:paraId="42289B46">
      <w:pPr>
        <w:ind w:firstLine="480"/>
        <w:rPr>
          <w:lang w:eastAsia="zh-CN"/>
        </w:rPr>
      </w:pPr>
      <w:r>
        <w:rPr>
          <w:lang w:eastAsia="zh-CN"/>
        </w:rPr>
        <w:t>根据《综合防控儿童青少年近视实施方案》《"十四五"全国眼健康规划（2021-2025年）》等政策要求，</w:t>
      </w:r>
      <w:r>
        <w:rPr>
          <w:rFonts w:hint="eastAsia"/>
          <w:lang w:eastAsia="zh-CN"/>
        </w:rPr>
        <w:t>体现当前妇保院在国家近视防控工作的责任担当，迎合</w:t>
      </w:r>
      <w:r>
        <w:rPr>
          <w:lang w:eastAsia="zh-CN"/>
        </w:rPr>
        <w:t>新老院区</w:t>
      </w:r>
      <w:r>
        <w:rPr>
          <w:rFonts w:hint="eastAsia"/>
          <w:lang w:eastAsia="zh-CN"/>
        </w:rPr>
        <w:t>满足广大群众对眼健康服务的</w:t>
      </w:r>
      <w:r>
        <w:rPr>
          <w:lang w:eastAsia="zh-CN"/>
        </w:rPr>
        <w:t>需要，本项目旨在引进专业的视光服务运营商，为</w:t>
      </w:r>
      <w:r>
        <w:rPr>
          <w:rFonts w:hint="eastAsia"/>
          <w:lang w:eastAsia="zh-CN"/>
        </w:rPr>
        <w:t>本</w:t>
      </w:r>
      <w:r>
        <w:rPr>
          <w:lang w:eastAsia="zh-CN"/>
        </w:rPr>
        <w:t>院提供标准化、专业化的视光中心运营管理服务。</w:t>
      </w:r>
    </w:p>
    <w:p w14:paraId="2AD9B6C1">
      <w:pPr>
        <w:ind w:firstLine="480"/>
        <w:rPr>
          <w:lang w:eastAsia="zh-CN"/>
        </w:rPr>
      </w:pPr>
      <w:r>
        <w:rPr>
          <w:rFonts w:hint="eastAsia"/>
          <w:lang w:eastAsia="zh-CN"/>
        </w:rPr>
        <w:t>拟委托专业的第三方视光中心运营服务供应商（以下简称“服务供应商”），负责开展新老两个院区的视光外运营服务（包括但不限于线上运营和线下运营服务），通过资源的整合与精准的运营策略，旨在提高本院的视光服务运营效率和市场竞争力。此外，服务供应商将为患者提供全方位、个性化、连续性的视光管理服务，涵盖线上与线下、院内与院外的综合服务。利用服务供应商在技术、资源及服务团队方面的优势，将儿近视防控中心打造成本院的特色项目。</w:t>
      </w:r>
    </w:p>
    <w:p w14:paraId="7D44DA48">
      <w:pPr>
        <w:ind w:firstLine="480"/>
        <w:rPr>
          <w:lang w:eastAsia="zh-CN"/>
        </w:rPr>
      </w:pPr>
      <w:r>
        <w:rPr>
          <w:lang w:eastAsia="zh-CN"/>
        </w:rPr>
        <w:t>本项目通过引进专业的视光服务运营商，构建覆盖新老院区的视光服务体系，为患者提供医学验光配镜、儿童青少年近视防控、角膜接触镜验配、低视力康复、视功能训练等专业服务。服务商需具备完善的运营管理体系、专业的技术团队和先进的设备配置，确保服务质量符合国家相关标准和规范。</w:t>
      </w:r>
    </w:p>
    <w:p w14:paraId="557709FF">
      <w:pPr>
        <w:pStyle w:val="5"/>
        <w:rPr>
          <w:lang w:eastAsia="zh-CN"/>
        </w:rPr>
      </w:pPr>
      <w:bookmarkStart w:id="11" w:name="__RefHeading___Toc13366_1983119206"/>
      <w:bookmarkEnd w:id="11"/>
      <w:r>
        <w:rPr>
          <w:lang w:eastAsia="zh-CN"/>
        </w:rPr>
        <w:t>二、项目要求</w:t>
      </w:r>
    </w:p>
    <w:p w14:paraId="52C74FA1">
      <w:pPr>
        <w:pStyle w:val="6"/>
        <w:rPr>
          <w:lang w:eastAsia="zh-CN"/>
        </w:rPr>
      </w:pPr>
      <w:bookmarkStart w:id="12" w:name="__RefHeading___Toc13368_1983119206"/>
      <w:bookmarkEnd w:id="12"/>
      <w:r>
        <w:rPr>
          <w:lang w:eastAsia="zh-CN"/>
        </w:rPr>
        <w:t>（一）服务内容</w:t>
      </w:r>
    </w:p>
    <w:p w14:paraId="4346C514">
      <w:pPr>
        <w:ind w:firstLine="480"/>
        <w:rPr>
          <w:lang w:eastAsia="zh-CN"/>
        </w:rPr>
      </w:pPr>
      <w:r>
        <w:rPr>
          <w:lang w:eastAsia="zh-CN"/>
        </w:rPr>
        <w:t>服务商为妇保院新老院区提供以下视光服务内容：</w:t>
      </w:r>
    </w:p>
    <w:p w14:paraId="0D037832">
      <w:pPr>
        <w:ind w:firstLine="480"/>
        <w:rPr>
          <w:lang w:eastAsia="zh-CN"/>
        </w:rPr>
      </w:pPr>
      <w:r>
        <w:rPr>
          <w:b/>
          <w:lang w:eastAsia="zh-CN"/>
        </w:rPr>
        <w:t>1、医学验光配镜服务</w:t>
      </w:r>
    </w:p>
    <w:p w14:paraId="5926C72A">
      <w:pPr>
        <w:ind w:firstLine="480"/>
        <w:rPr>
          <w:lang w:eastAsia="zh-CN"/>
        </w:rPr>
      </w:pPr>
      <w:r>
        <w:rPr>
          <w:lang w:eastAsia="zh-CN"/>
        </w:rPr>
        <w:t>为患者提供专业的医学验光服务，包括客观验光、主观验光、双眼视功能检查等，并根据验光结果提供个性化的配镜方案。服务范围涵盖框架眼镜、太阳镜、老花镜等各类眼镜的验配。</w:t>
      </w:r>
    </w:p>
    <w:p w14:paraId="3FB38E85">
      <w:pPr>
        <w:ind w:firstLine="480"/>
        <w:rPr>
          <w:lang w:eastAsia="zh-CN"/>
        </w:rPr>
      </w:pPr>
      <w:r>
        <w:rPr>
          <w:b/>
          <w:lang w:eastAsia="zh-CN"/>
        </w:rPr>
        <w:t>2、儿童青少年近视防控服务</w:t>
      </w:r>
    </w:p>
    <w:p w14:paraId="666F4C3F">
      <w:pPr>
        <w:ind w:firstLine="480"/>
        <w:rPr>
          <w:lang w:eastAsia="zh-CN"/>
        </w:rPr>
      </w:pPr>
      <w:r>
        <w:rPr>
          <w:lang w:eastAsia="zh-CN"/>
        </w:rPr>
        <w:t>为0-18岁儿童青少年提供近视筛查、建档、监测及干预服务。建立屈光发育档案，开展近视防控科普宣教，提供角膜塑形镜（OK镜）、多焦点软镜、离焦框架眼镜等近视防控产品的验配服务。</w:t>
      </w:r>
    </w:p>
    <w:p w14:paraId="56CCF51C">
      <w:pPr>
        <w:ind w:firstLine="480"/>
        <w:rPr>
          <w:lang w:eastAsia="zh-CN"/>
        </w:rPr>
      </w:pPr>
      <w:r>
        <w:rPr>
          <w:b/>
          <w:lang w:eastAsia="zh-CN"/>
        </w:rPr>
        <w:t>3、角膜接触镜验配服务</w:t>
      </w:r>
    </w:p>
    <w:p w14:paraId="0FE4266A">
      <w:pPr>
        <w:ind w:firstLine="480"/>
        <w:rPr>
          <w:lang w:eastAsia="zh-CN"/>
        </w:rPr>
      </w:pPr>
      <w:r>
        <w:rPr>
          <w:lang w:eastAsia="zh-CN"/>
        </w:rPr>
        <w:t>提供软性角膜接触镜、硬性透气性角膜接触镜（RGP）、角膜塑形镜等各类角膜接触镜的专业验配服务，包括适应症评估、试戴评估、配适检查、随访管理等全流程服务。</w:t>
      </w:r>
    </w:p>
    <w:p w14:paraId="3EA271EC">
      <w:pPr>
        <w:ind w:firstLine="480"/>
        <w:rPr>
          <w:lang w:eastAsia="zh-CN"/>
        </w:rPr>
      </w:pPr>
      <w:r>
        <w:rPr>
          <w:b/>
          <w:lang w:eastAsia="zh-CN"/>
        </w:rPr>
        <w:t>4、低视力康复服务</w:t>
      </w:r>
    </w:p>
    <w:p w14:paraId="78F93429">
      <w:pPr>
        <w:ind w:firstLine="480"/>
        <w:rPr>
          <w:lang w:eastAsia="zh-CN"/>
        </w:rPr>
      </w:pPr>
      <w:r>
        <w:rPr>
          <w:lang w:eastAsia="zh-CN"/>
        </w:rPr>
        <w:t>为低视力患者提供视力评估、助视器验配、康复训练等服务，帮助低视力患者最大程度利用残余视力，提高生活质量。</w:t>
      </w:r>
    </w:p>
    <w:p w14:paraId="0B530966">
      <w:pPr>
        <w:ind w:firstLine="480"/>
        <w:rPr>
          <w:lang w:eastAsia="zh-CN"/>
        </w:rPr>
      </w:pPr>
      <w:r>
        <w:rPr>
          <w:b/>
          <w:lang w:eastAsia="zh-CN"/>
        </w:rPr>
        <w:t>5、视功能训练服务</w:t>
      </w:r>
    </w:p>
    <w:p w14:paraId="0B9C5551">
      <w:pPr>
        <w:ind w:firstLine="480"/>
        <w:rPr>
          <w:lang w:eastAsia="zh-CN"/>
        </w:rPr>
      </w:pPr>
      <w:r>
        <w:rPr>
          <w:lang w:eastAsia="zh-CN"/>
        </w:rPr>
        <w:t>为斜视、弱视、双眼视功能异常等患者提供个性化的视功能训练方案，包括弱视训练、双眼视功能训练、视觉认知训练等。</w:t>
      </w:r>
    </w:p>
    <w:p w14:paraId="0781ADF1">
      <w:pPr>
        <w:ind w:firstLine="480"/>
        <w:rPr>
          <w:lang w:eastAsia="zh-CN"/>
        </w:rPr>
      </w:pPr>
      <w:r>
        <w:rPr>
          <w:b/>
          <w:lang w:eastAsia="zh-CN"/>
        </w:rPr>
        <w:t>6、眼健康筛查服务</w:t>
      </w:r>
    </w:p>
    <w:p w14:paraId="14FA9BCB">
      <w:pPr>
        <w:ind w:firstLine="480"/>
        <w:rPr>
          <w:lang w:eastAsia="zh-CN"/>
        </w:rPr>
      </w:pPr>
      <w:r>
        <w:rPr>
          <w:lang w:eastAsia="zh-CN"/>
        </w:rPr>
        <w:t>配合医院开展儿童眼健康筛查、新生儿眼病筛查、学龄前儿童视力筛查等公共卫生服务项目。</w:t>
      </w:r>
    </w:p>
    <w:p w14:paraId="6D3778C9">
      <w:pPr>
        <w:pStyle w:val="6"/>
        <w:rPr>
          <w:lang w:eastAsia="zh-CN"/>
        </w:rPr>
      </w:pPr>
      <w:bookmarkStart w:id="13" w:name="__RefHeading___Toc13370_1983119206"/>
      <w:bookmarkEnd w:id="13"/>
      <w:r>
        <w:rPr>
          <w:lang w:eastAsia="zh-CN"/>
        </w:rPr>
        <w:t>（二）服务要求</w:t>
      </w:r>
    </w:p>
    <w:p w14:paraId="0421A026">
      <w:pPr>
        <w:ind w:firstLine="480"/>
        <w:rPr>
          <w:lang w:eastAsia="zh-CN"/>
        </w:rPr>
      </w:pPr>
      <w:r>
        <w:rPr>
          <w:b/>
          <w:lang w:eastAsia="zh-CN"/>
        </w:rPr>
        <w:t>1、人员配置要求</w:t>
      </w:r>
    </w:p>
    <w:p w14:paraId="19097F4A">
      <w:pPr>
        <w:ind w:firstLine="480"/>
        <w:rPr>
          <w:lang w:eastAsia="zh-CN"/>
        </w:rPr>
      </w:pPr>
      <w:r>
        <w:rPr>
          <w:lang w:eastAsia="zh-CN"/>
        </w:rPr>
        <w:t>服务商应配备满足项目运营需要的专业技术人员，包括但不限于：</w:t>
      </w:r>
    </w:p>
    <w:p w14:paraId="1C64F72D">
      <w:pPr>
        <w:ind w:firstLine="480"/>
        <w:rPr>
          <w:lang w:eastAsia="zh-CN"/>
        </w:rPr>
      </w:pPr>
      <w:r>
        <w:rPr>
          <w:lang w:eastAsia="zh-CN"/>
        </w:rPr>
        <w:t>（1）</w:t>
      </w:r>
      <w:r>
        <w:rPr>
          <w:rFonts w:hint="eastAsia"/>
          <w:lang w:eastAsia="zh-CN"/>
        </w:rPr>
        <w:t>验</w:t>
      </w:r>
      <w:r>
        <w:rPr>
          <w:lang w:eastAsia="zh-CN"/>
        </w:rPr>
        <w:t>光师：持有验光员职业资格证书，具备丰富的验光配镜经验，能够独立完成各类屈光不正的验配工作。</w:t>
      </w:r>
    </w:p>
    <w:p w14:paraId="686B4326">
      <w:pPr>
        <w:ind w:firstLine="480"/>
        <w:rPr>
          <w:lang w:eastAsia="zh-CN"/>
        </w:rPr>
      </w:pPr>
      <w:r>
        <w:rPr>
          <w:lang w:eastAsia="zh-CN"/>
        </w:rPr>
        <w:t>（2）角膜接触镜验配师：具备角膜接触镜验配资质，熟悉各类角膜接触镜的验配流程和注意事项。</w:t>
      </w:r>
    </w:p>
    <w:p w14:paraId="75FC05C8">
      <w:pPr>
        <w:ind w:firstLine="480"/>
        <w:rPr>
          <w:lang w:eastAsia="zh-CN"/>
        </w:rPr>
      </w:pPr>
      <w:r>
        <w:rPr>
          <w:lang w:eastAsia="zh-CN"/>
        </w:rPr>
        <w:t>（3）视功能训练师：具备视功能训练相关专业背景，能够制定并实施个性化的训练方案。</w:t>
      </w:r>
    </w:p>
    <w:p w14:paraId="6076C8F5">
      <w:pPr>
        <w:ind w:firstLine="480"/>
        <w:rPr>
          <w:lang w:eastAsia="zh-CN"/>
        </w:rPr>
      </w:pPr>
      <w:r>
        <w:rPr>
          <w:lang w:eastAsia="zh-CN"/>
        </w:rPr>
        <w:t>（4）客服人员：负责患者接待、预约登记、档案管理、随访回访等工作。</w:t>
      </w:r>
    </w:p>
    <w:p w14:paraId="48085038">
      <w:pPr>
        <w:ind w:firstLine="480"/>
        <w:rPr>
          <w:lang w:eastAsia="zh-CN"/>
        </w:rPr>
      </w:pPr>
      <w:r>
        <w:rPr>
          <w:lang w:eastAsia="zh-CN"/>
        </w:rPr>
        <w:t>服务商派驻人员应接受医院统一管理，遵守医院各项规章制度，着装规范，服务态度良好。</w:t>
      </w:r>
    </w:p>
    <w:p w14:paraId="01FA5FCC">
      <w:pPr>
        <w:ind w:firstLine="480"/>
        <w:rPr>
          <w:lang w:eastAsia="zh-CN"/>
        </w:rPr>
      </w:pPr>
      <w:r>
        <w:rPr>
          <w:b/>
          <w:lang w:eastAsia="zh-CN"/>
        </w:rPr>
        <w:t>2、设备配置要求</w:t>
      </w:r>
    </w:p>
    <w:p w14:paraId="7D39B45A">
      <w:pPr>
        <w:ind w:firstLine="480"/>
        <w:rPr>
          <w:lang w:eastAsia="zh-CN"/>
        </w:rPr>
      </w:pPr>
      <w:r>
        <w:rPr>
          <w:lang w:eastAsia="zh-CN"/>
        </w:rPr>
        <w:t>服务商应根据服务内容配置必要的视光检查设备，包括但不限于：</w:t>
      </w:r>
    </w:p>
    <w:p w14:paraId="29C8D716">
      <w:pPr>
        <w:ind w:firstLine="480"/>
        <w:rPr>
          <w:lang w:eastAsia="zh-CN"/>
        </w:rPr>
      </w:pPr>
      <w:r>
        <w:rPr>
          <w:lang w:eastAsia="zh-CN"/>
        </w:rPr>
        <w:t>（1）综合验光仪：用于主观验光检查；</w:t>
      </w:r>
    </w:p>
    <w:p w14:paraId="18F03119">
      <w:pPr>
        <w:ind w:firstLine="480"/>
        <w:rPr>
          <w:lang w:eastAsia="zh-CN"/>
        </w:rPr>
      </w:pPr>
      <w:r>
        <w:rPr>
          <w:lang w:eastAsia="zh-CN"/>
        </w:rPr>
        <w:t>（2）电脑验光仪：用于客观验光检查；</w:t>
      </w:r>
    </w:p>
    <w:p w14:paraId="51985835">
      <w:pPr>
        <w:ind w:firstLine="480"/>
        <w:rPr>
          <w:lang w:eastAsia="zh-CN"/>
        </w:rPr>
      </w:pPr>
      <w:r>
        <w:rPr>
          <w:lang w:eastAsia="zh-CN"/>
        </w:rPr>
        <w:t>（3）角膜曲率仪：用于角膜曲率测量；</w:t>
      </w:r>
    </w:p>
    <w:p w14:paraId="5C7CD812">
      <w:pPr>
        <w:ind w:firstLine="480"/>
        <w:rPr>
          <w:lang w:eastAsia="zh-CN"/>
        </w:rPr>
      </w:pPr>
      <w:r>
        <w:rPr>
          <w:lang w:eastAsia="zh-CN"/>
        </w:rPr>
        <w:t>（4）非接触眼压计：用于眼压测量；</w:t>
      </w:r>
    </w:p>
    <w:p w14:paraId="3C7A1D2E">
      <w:pPr>
        <w:ind w:firstLine="480"/>
        <w:rPr>
          <w:lang w:eastAsia="zh-CN"/>
        </w:rPr>
      </w:pPr>
      <w:r>
        <w:rPr>
          <w:lang w:eastAsia="zh-CN"/>
        </w:rPr>
        <w:t>（5）角膜地形图仪：用于角膜形态分析；</w:t>
      </w:r>
    </w:p>
    <w:p w14:paraId="33BE441B">
      <w:pPr>
        <w:ind w:firstLine="480"/>
        <w:rPr>
          <w:lang w:eastAsia="zh-CN"/>
        </w:rPr>
      </w:pPr>
      <w:r>
        <w:rPr>
          <w:lang w:eastAsia="zh-CN"/>
        </w:rPr>
        <w:t>（6）生物测量仪：用于眼轴长度等生物参数测量；</w:t>
      </w:r>
    </w:p>
    <w:p w14:paraId="254783D8">
      <w:pPr>
        <w:ind w:firstLine="480"/>
        <w:rPr>
          <w:lang w:eastAsia="zh-CN"/>
        </w:rPr>
      </w:pPr>
      <w:r>
        <w:rPr>
          <w:lang w:eastAsia="zh-CN"/>
        </w:rPr>
        <w:t>（7）眼底照相机：用于眼底检查；</w:t>
      </w:r>
    </w:p>
    <w:p w14:paraId="4399CC9C">
      <w:pPr>
        <w:ind w:firstLine="480"/>
        <w:rPr>
          <w:lang w:eastAsia="zh-CN"/>
        </w:rPr>
      </w:pPr>
      <w:r>
        <w:rPr>
          <w:lang w:eastAsia="zh-CN"/>
        </w:rPr>
        <w:t>（8）视功能训练设备：用于弱视及双眼视功能训练；</w:t>
      </w:r>
    </w:p>
    <w:p w14:paraId="7E4B6006">
      <w:pPr>
        <w:ind w:firstLine="480"/>
        <w:rPr>
          <w:lang w:eastAsia="zh-CN"/>
        </w:rPr>
      </w:pPr>
      <w:r>
        <w:rPr>
          <w:lang w:eastAsia="zh-CN"/>
        </w:rPr>
        <w:t>（9）磨边机、中心仪等配镜加工设备。</w:t>
      </w:r>
    </w:p>
    <w:p w14:paraId="2CAFC0D7">
      <w:pPr>
        <w:ind w:firstLine="480"/>
        <w:rPr>
          <w:lang w:eastAsia="zh-CN"/>
        </w:rPr>
      </w:pPr>
      <w:r>
        <w:rPr>
          <w:lang w:eastAsia="zh-CN"/>
        </w:rPr>
        <w:t>设备应符合国家相关标准，定期进行校准和维护保养，确保检查结果准确可靠。</w:t>
      </w:r>
    </w:p>
    <w:p w14:paraId="6D85B8EA">
      <w:pPr>
        <w:ind w:firstLine="480"/>
        <w:rPr>
          <w:lang w:eastAsia="zh-CN"/>
        </w:rPr>
      </w:pPr>
      <w:r>
        <w:rPr>
          <w:b/>
          <w:lang w:eastAsia="zh-CN"/>
        </w:rPr>
        <w:t>3、场地要求</w:t>
      </w:r>
    </w:p>
    <w:p w14:paraId="3E13EDC8">
      <w:pPr>
        <w:ind w:firstLine="480"/>
        <w:rPr>
          <w:lang w:eastAsia="zh-CN"/>
        </w:rPr>
      </w:pPr>
      <w:r>
        <w:rPr>
          <w:lang w:eastAsia="zh-CN"/>
        </w:rPr>
        <w:t>采购方提供视光中心运营所需场地，老院区和新院区各一处。服务商应合理规划场地布局，设置候诊区、验光区、配镜区、训练区等功能区域，确保就诊流程顺畅、环境舒适整洁。场地装修及布局方案需经采购方审核同意后方可实施。</w:t>
      </w:r>
    </w:p>
    <w:p w14:paraId="1D95E667">
      <w:pPr>
        <w:ind w:firstLine="480"/>
        <w:rPr>
          <w:lang w:eastAsia="zh-CN"/>
        </w:rPr>
      </w:pPr>
      <w:r>
        <w:rPr>
          <w:b/>
          <w:lang w:eastAsia="zh-CN"/>
        </w:rPr>
        <w:t>4、信息化管理要求</w:t>
      </w:r>
    </w:p>
    <w:p w14:paraId="1AB4C19B">
      <w:pPr>
        <w:ind w:firstLine="480"/>
        <w:rPr>
          <w:lang w:eastAsia="zh-CN"/>
        </w:rPr>
      </w:pPr>
      <w:r>
        <w:rPr>
          <w:lang w:eastAsia="zh-CN"/>
        </w:rPr>
        <w:t>服务商应建立完善的信息化管理系统，实现患者信息管理、检查数据记录、配镜订单管理、库存管理、随访管理等功能。同时应做好患者信息安全保护工作，确保患者隐私安全。</w:t>
      </w:r>
    </w:p>
    <w:p w14:paraId="23741607">
      <w:pPr>
        <w:ind w:firstLine="480"/>
        <w:rPr>
          <w:lang w:eastAsia="zh-CN"/>
        </w:rPr>
      </w:pPr>
      <w:r>
        <w:rPr>
          <w:b/>
          <w:lang w:eastAsia="zh-CN"/>
        </w:rPr>
        <w:t>5、质量控制要求</w:t>
      </w:r>
    </w:p>
    <w:p w14:paraId="377DBF4B">
      <w:pPr>
        <w:ind w:firstLine="480"/>
        <w:rPr>
          <w:lang w:eastAsia="zh-CN"/>
        </w:rPr>
      </w:pPr>
      <w:r>
        <w:rPr>
          <w:lang w:eastAsia="zh-CN"/>
        </w:rPr>
        <w:t>服务商应建立完善的质量管理体系，制定各项服务的标准操作规程（SOP），定期开展内部质量检查和人员培训考核。验光准确率应达到98%以上，配镜合格率应达到99%以上，患者满意度应达到90%以上。</w:t>
      </w:r>
    </w:p>
    <w:p w14:paraId="6E20754A">
      <w:pPr>
        <w:ind w:firstLine="480"/>
        <w:rPr>
          <w:lang w:eastAsia="zh-CN"/>
        </w:rPr>
      </w:pPr>
      <w:r>
        <w:rPr>
          <w:b/>
          <w:lang w:eastAsia="zh-CN"/>
        </w:rPr>
        <w:t>6、服务时间要求</w:t>
      </w:r>
    </w:p>
    <w:p w14:paraId="6E4077F0">
      <w:pPr>
        <w:ind w:firstLine="480"/>
        <w:rPr>
          <w:lang w:eastAsia="zh-CN"/>
        </w:rPr>
      </w:pPr>
      <w:r>
        <w:rPr>
          <w:lang w:eastAsia="zh-CN"/>
        </w:rPr>
        <w:t>视光中心服务时间应与医院门诊时间保持一致，工作日全天开放，周末及节假日根据医院安排提供服务。服务商应合理安排人员排班，确保服务时间内有足够的工作人员在岗。</w:t>
      </w:r>
    </w:p>
    <w:p w14:paraId="3A462D25">
      <w:pPr>
        <w:pStyle w:val="6"/>
        <w:rPr>
          <w:lang w:eastAsia="zh-CN"/>
        </w:rPr>
      </w:pPr>
      <w:bookmarkStart w:id="14" w:name="__RefHeading___Toc13372_1983119206"/>
      <w:bookmarkEnd w:id="14"/>
      <w:r>
        <w:rPr>
          <w:lang w:eastAsia="zh-CN"/>
        </w:rPr>
        <w:t>（三）纠纷处理</w:t>
      </w:r>
    </w:p>
    <w:p w14:paraId="313EC121">
      <w:pPr>
        <w:ind w:firstLine="480"/>
        <w:rPr>
          <w:lang w:eastAsia="zh-CN"/>
        </w:rPr>
      </w:pPr>
      <w:r>
        <w:rPr>
          <w:b/>
          <w:lang w:eastAsia="zh-CN"/>
        </w:rPr>
        <w:t>1、纠纷处理总则</w:t>
      </w:r>
    </w:p>
    <w:p w14:paraId="4F83DCEA">
      <w:pPr>
        <w:ind w:firstLine="480"/>
        <w:rPr>
          <w:lang w:eastAsia="zh-CN"/>
        </w:rPr>
      </w:pPr>
      <w:r>
        <w:rPr>
          <w:lang w:eastAsia="zh-CN"/>
        </w:rPr>
        <w:t>由中标供应商负责纠纷处理，总体以患者体验和满意度为目标。遇到患者投诉纠纷情况，应积极予以回应，接待投诉者，将投诉纠纷的情况登记并告知答复时间（一般2日内），处理结果需汇报至项目负责人，由项目总负责人写出书面说明（一般2日内），经项目负责人组织讨论并审核，由项目负责人告知投诉者。</w:t>
      </w:r>
    </w:p>
    <w:p w14:paraId="10BED341">
      <w:pPr>
        <w:ind w:firstLine="480"/>
        <w:rPr>
          <w:lang w:eastAsia="zh-CN"/>
        </w:rPr>
      </w:pPr>
      <w:r>
        <w:rPr>
          <w:b/>
          <w:lang w:eastAsia="zh-CN"/>
        </w:rPr>
        <w:t>2、纠纷处理流程</w:t>
      </w:r>
    </w:p>
    <w:p w14:paraId="03BB1AB7">
      <w:pPr>
        <w:ind w:firstLine="480"/>
        <w:rPr>
          <w:lang w:eastAsia="zh-CN"/>
        </w:rPr>
      </w:pPr>
      <w:r>
        <w:rPr>
          <w:lang w:eastAsia="zh-CN"/>
        </w:rPr>
        <w:t>一旦发生患者投诉纠纷反馈，必须1个工作日内予以回应，2个工作日内给予书面说明反馈至项目负责人处。</w:t>
      </w:r>
    </w:p>
    <w:p w14:paraId="3BFC9780">
      <w:pPr>
        <w:ind w:firstLine="480"/>
        <w:rPr>
          <w:lang w:eastAsia="zh-CN"/>
        </w:rPr>
      </w:pPr>
      <w:r>
        <w:rPr>
          <w:b/>
          <w:lang w:eastAsia="zh-CN"/>
        </w:rPr>
        <w:t>3、纠纷事件分类处理</w:t>
      </w:r>
    </w:p>
    <w:p w14:paraId="644CEC1B">
      <w:pPr>
        <w:ind w:firstLine="480"/>
        <w:rPr>
          <w:lang w:eastAsia="zh-CN"/>
        </w:rPr>
      </w:pPr>
      <w:r>
        <w:rPr>
          <w:lang w:eastAsia="zh-CN"/>
        </w:rPr>
        <w:t>（1）一般投诉纠纷：患者反馈对服务价值表达不满，要求进行退款处理。此类患者，安抚并解释患者疑惑后，记录患者建议点，由中标供应商予以退款处理。</w:t>
      </w:r>
    </w:p>
    <w:p w14:paraId="760AA325">
      <w:pPr>
        <w:ind w:firstLine="480"/>
        <w:rPr>
          <w:lang w:eastAsia="zh-CN"/>
        </w:rPr>
      </w:pPr>
      <w:r>
        <w:rPr>
          <w:lang w:eastAsia="zh-CN"/>
        </w:rPr>
        <w:t>（2）重要投诉纠纷：患者反馈对服务不满意，且反馈下一步要进行媒体曝光或市场热线投诉，或患者已向上级部门进行投诉或信访。此类患者需尤其予以重视，供应商应在投标文件中提供详细的处理流程方案。</w:t>
      </w:r>
    </w:p>
    <w:p w14:paraId="1121AC65">
      <w:pPr>
        <w:pStyle w:val="5"/>
        <w:rPr>
          <w:lang w:eastAsia="zh-CN"/>
        </w:rPr>
      </w:pPr>
      <w:bookmarkStart w:id="15" w:name="__RefHeading___Toc13374_1983119206"/>
      <w:bookmarkEnd w:id="15"/>
      <w:r>
        <w:rPr>
          <w:lang w:eastAsia="zh-CN"/>
        </w:rPr>
        <w:t>三、商务要求</w:t>
      </w:r>
    </w:p>
    <w:p w14:paraId="53DF4C06">
      <w:pPr>
        <w:ind w:firstLine="480"/>
        <w:rPr>
          <w:lang w:eastAsia="zh-CN"/>
        </w:rPr>
      </w:pPr>
      <w:r>
        <w:rPr>
          <w:b/>
          <w:lang w:eastAsia="zh-CN"/>
        </w:rPr>
        <w:t>（一）服务期限</w:t>
      </w:r>
    </w:p>
    <w:p w14:paraId="387457E6">
      <w:pPr>
        <w:ind w:firstLine="480"/>
        <w:rPr>
          <w:lang w:eastAsia="zh-CN"/>
        </w:rPr>
      </w:pPr>
      <w:r>
        <w:rPr>
          <w:lang w:eastAsia="zh-CN"/>
        </w:rPr>
        <w:t>服务期限为3年。合同期满后，经双方协商一致可续签。</w:t>
      </w:r>
    </w:p>
    <w:p w14:paraId="625CE499">
      <w:pPr>
        <w:ind w:firstLine="480"/>
        <w:rPr>
          <w:lang w:eastAsia="zh-CN"/>
        </w:rPr>
      </w:pPr>
      <w:r>
        <w:rPr>
          <w:b/>
          <w:lang w:eastAsia="zh-CN"/>
        </w:rPr>
        <w:t>（二）其他要求</w:t>
      </w:r>
    </w:p>
    <w:p w14:paraId="20BABDD1">
      <w:pPr>
        <w:ind w:firstLine="480"/>
        <w:rPr>
          <w:lang w:eastAsia="zh-CN"/>
        </w:rPr>
      </w:pPr>
      <w:r>
        <w:rPr>
          <w:lang w:eastAsia="zh-CN"/>
        </w:rPr>
        <w:t>1、服务供应商需对本项目所涉及到的所有业务具有完整的理解，并对项目业务可能涉及到的企业资质均须具备。</w:t>
      </w:r>
    </w:p>
    <w:p w14:paraId="3710B48C">
      <w:pPr>
        <w:ind w:firstLine="480"/>
        <w:rPr>
          <w:lang w:eastAsia="zh-CN"/>
        </w:rPr>
      </w:pPr>
      <w:r>
        <w:rPr>
          <w:lang w:eastAsia="zh-CN"/>
        </w:rPr>
        <w:t>2、中标供应商开展此项服务工作，应基于采购人与病患良好的医患关系。因此，中标供应商在开展视光服务时，应充分考虑影响医患关系的各种因素，保证医疗资源分配的公平性，使来院就诊的病患均获得公平、良好的诊疗服务。如因中标供应商提供的服务对采购人与病患关系构成负面影响，有损采购人声誉的，采购人有权终止本项目合同的一切内容，采购人有权追究中标供应商由此产生的一切法律责任。</w:t>
      </w:r>
    </w:p>
    <w:p w14:paraId="16EB2C7D">
      <w:pPr>
        <w:ind w:firstLine="480"/>
        <w:rPr>
          <w:lang w:eastAsia="zh-CN"/>
        </w:rPr>
      </w:pPr>
      <w:r>
        <w:rPr>
          <w:lang w:eastAsia="zh-CN"/>
        </w:rPr>
        <w:t>3、合同有效期内，中标供应商所提供的管理和服务内容应根据采购人管理需求和临床使用的需求进行及时的更新与调整。</w:t>
      </w:r>
    </w:p>
    <w:p w14:paraId="571671C7">
      <w:pPr>
        <w:ind w:firstLine="480"/>
        <w:rPr>
          <w:lang w:eastAsia="zh-CN"/>
        </w:rPr>
      </w:pPr>
      <w:r>
        <w:rPr>
          <w:lang w:eastAsia="zh-CN"/>
        </w:rPr>
        <w:t>4、中标供应商应当有完善的项目运营质量管理体系、质量管理机构及人员。中标供应商应按要求配备满足项目运维的服务团队，服务团队常驻人员应视采购人业务量增加而相应增加派驻人员。</w:t>
      </w:r>
    </w:p>
    <w:p w14:paraId="1317CC3E">
      <w:pPr>
        <w:ind w:firstLine="480"/>
        <w:rPr>
          <w:lang w:eastAsia="zh-CN"/>
        </w:rPr>
      </w:pPr>
      <w:r>
        <w:rPr>
          <w:lang w:eastAsia="zh-CN"/>
        </w:rPr>
        <w:t>5、合作双方可根据国家新的法律法规要求及政策调整，另行协商合作模式和签订增补协议。</w:t>
      </w:r>
    </w:p>
    <w:p w14:paraId="13031E0C">
      <w:pPr>
        <w:ind w:firstLine="480"/>
        <w:rPr>
          <w:lang w:eastAsia="zh-CN"/>
        </w:rPr>
      </w:pPr>
      <w:r>
        <w:rPr>
          <w:b/>
          <w:lang w:eastAsia="zh-CN"/>
        </w:rPr>
        <w:t>（三）付款方式与履约保证金</w:t>
      </w:r>
    </w:p>
    <w:p w14:paraId="79A47CAF">
      <w:pPr>
        <w:ind w:firstLine="480"/>
        <w:jc w:val="center"/>
        <w:rPr>
          <w:lang w:eastAsia="zh-CN"/>
        </w:rPr>
      </w:pPr>
      <w:r>
        <w:rPr>
          <w:lang w:eastAsia="zh-CN"/>
        </w:rPr>
        <w:t>1、付款方式：用户就其购买的视光服务统一通过中标方平台进行支付服务费。中标方按月度支付给采购方，按实际产生的业务数量进行结算。按月结算，视光服务结算费用=视光服务</w:t>
      </w:r>
      <w:r>
        <w:rPr>
          <w:rFonts w:hint="eastAsia"/>
          <w:lang w:eastAsia="zh-CN"/>
        </w:rPr>
        <w:t>的经营收入—管理费</w:t>
      </w:r>
      <w:r>
        <w:rPr>
          <w:lang w:eastAsia="zh-CN"/>
        </w:rPr>
        <w:t>。</w:t>
      </w:r>
    </w:p>
    <w:p w14:paraId="36504CF8">
      <w:pPr>
        <w:ind w:firstLine="480"/>
        <w:rPr>
          <w:lang w:eastAsia="zh-CN"/>
        </w:rPr>
      </w:pPr>
      <w:r>
        <w:rPr>
          <w:lang w:eastAsia="zh-CN"/>
        </w:rPr>
        <w:t>2、履约保证金：本项目不收取履约保证金。</w:t>
      </w:r>
    </w:p>
    <w:p w14:paraId="41A5A8A0">
      <w:pPr>
        <w:pStyle w:val="5"/>
        <w:rPr>
          <w:lang w:eastAsia="zh-CN"/>
        </w:rPr>
      </w:pPr>
      <w:bookmarkStart w:id="16" w:name="__RefHeading___Toc13376_1983119206"/>
      <w:bookmarkEnd w:id="16"/>
      <w:r>
        <w:rPr>
          <w:lang w:eastAsia="zh-CN"/>
        </w:rPr>
        <w:t>四、报价要求</w:t>
      </w:r>
    </w:p>
    <w:p w14:paraId="0B42D67F">
      <w:pPr>
        <w:ind w:firstLine="480"/>
        <w:rPr>
          <w:lang w:eastAsia="zh-CN"/>
        </w:rPr>
      </w:pPr>
      <w:r>
        <w:rPr>
          <w:lang w:eastAsia="zh-CN"/>
        </w:rPr>
        <w:t>1、本项目采用管理费占比费率（%）进行报价（报价精确到小数点后二位），结算货币为人民币。管理费占比费率报价必须为确定的固定唯一报价，不得填报多个报价值或区间值，否则将被视为非实质性响应招标文件，按无效投标处理。本项目设有管理费占比费率最低限价为：</w:t>
      </w:r>
      <w:r>
        <w:rPr>
          <w:rFonts w:hint="eastAsia"/>
          <w:lang w:eastAsia="zh-CN"/>
        </w:rPr>
        <w:t>12</w:t>
      </w:r>
      <w:r>
        <w:rPr>
          <w:lang w:eastAsia="zh-CN"/>
        </w:rPr>
        <w:t>.00%，供应商投标报价费率不得低于最低限价，否则按无效投标处理。</w:t>
      </w:r>
    </w:p>
    <w:p w14:paraId="1E2B8DD8">
      <w:pPr>
        <w:ind w:firstLine="480"/>
        <w:rPr>
          <w:lang w:eastAsia="zh-CN"/>
        </w:rPr>
      </w:pPr>
      <w:r>
        <w:rPr>
          <w:lang w:eastAsia="zh-CN"/>
        </w:rPr>
        <w:t>2、本项目的视光师与服务运营人员工资及五险一金等，均由中标供应商承担，采购人仅负责提供场地。</w:t>
      </w:r>
    </w:p>
    <w:tbl>
      <w:tblPr>
        <w:tblStyle w:val="40"/>
        <w:tblW w:w="9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692"/>
        <w:gridCol w:w="2175"/>
        <w:gridCol w:w="3133"/>
        <w:gridCol w:w="936"/>
        <w:gridCol w:w="1624"/>
        <w:gridCol w:w="1238"/>
      </w:tblGrid>
      <w:tr w14:paraId="4A5A45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blHeader/>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07ED6ACB">
            <w:pPr>
              <w:pStyle w:val="174"/>
              <w:snapToGrid w:val="0"/>
              <w:spacing w:line="240" w:lineRule="auto"/>
              <w:jc w:val="center"/>
              <w:rPr>
                <w:rFonts w:cs="宋体"/>
                <w:b/>
                <w:sz w:val="24"/>
              </w:rPr>
            </w:pPr>
            <w:r>
              <w:rPr>
                <w:rFonts w:cs="宋体"/>
                <w:b/>
                <w:sz w:val="24"/>
              </w:rPr>
              <w:t>序号</w:t>
            </w:r>
          </w:p>
        </w:tc>
        <w:tc>
          <w:tcPr>
            <w:tcW w:w="2175" w:type="dxa"/>
            <w:tcBorders>
              <w:top w:val="single" w:color="000000" w:sz="4" w:space="0"/>
              <w:left w:val="single" w:color="000000" w:sz="4" w:space="0"/>
              <w:bottom w:val="single" w:color="000000" w:sz="4" w:space="0"/>
              <w:right w:val="single" w:color="000000" w:sz="4" w:space="0"/>
            </w:tcBorders>
            <w:vAlign w:val="center"/>
          </w:tcPr>
          <w:p w14:paraId="3A26A0A0">
            <w:pPr>
              <w:pStyle w:val="174"/>
              <w:snapToGrid w:val="0"/>
              <w:spacing w:line="240" w:lineRule="auto"/>
              <w:jc w:val="center"/>
              <w:rPr>
                <w:rFonts w:cs="宋体"/>
                <w:b/>
                <w:sz w:val="24"/>
              </w:rPr>
            </w:pPr>
            <w:r>
              <w:rPr>
                <w:rFonts w:cs="宋体"/>
                <w:b/>
                <w:sz w:val="24"/>
              </w:rPr>
              <w:t>招标内容</w:t>
            </w:r>
          </w:p>
        </w:tc>
        <w:tc>
          <w:tcPr>
            <w:tcW w:w="3133" w:type="dxa"/>
            <w:tcBorders>
              <w:top w:val="single" w:color="000000" w:sz="4" w:space="0"/>
              <w:left w:val="single" w:color="000000" w:sz="4" w:space="0"/>
              <w:bottom w:val="single" w:color="000000" w:sz="4" w:space="0"/>
              <w:right w:val="single" w:color="000000" w:sz="4" w:space="0"/>
            </w:tcBorders>
            <w:vAlign w:val="center"/>
          </w:tcPr>
          <w:p w14:paraId="76ECDA69">
            <w:pPr>
              <w:pStyle w:val="174"/>
              <w:snapToGrid w:val="0"/>
              <w:spacing w:line="240" w:lineRule="auto"/>
              <w:jc w:val="center"/>
              <w:rPr>
                <w:rFonts w:cs="宋体"/>
                <w:b/>
                <w:sz w:val="24"/>
              </w:rPr>
            </w:pPr>
            <w:r>
              <w:rPr>
                <w:rFonts w:cs="宋体"/>
                <w:b/>
                <w:sz w:val="24"/>
              </w:rPr>
              <w:t>项目</w:t>
            </w:r>
          </w:p>
        </w:tc>
        <w:tc>
          <w:tcPr>
            <w:tcW w:w="936" w:type="dxa"/>
            <w:tcBorders>
              <w:top w:val="single" w:color="000000" w:sz="4" w:space="0"/>
              <w:left w:val="single" w:color="000000" w:sz="4" w:space="0"/>
              <w:bottom w:val="single" w:color="000000" w:sz="4" w:space="0"/>
              <w:right w:val="single" w:color="000000" w:sz="4" w:space="0"/>
            </w:tcBorders>
            <w:vAlign w:val="center"/>
          </w:tcPr>
          <w:p w14:paraId="7783E880">
            <w:pPr>
              <w:pStyle w:val="174"/>
              <w:snapToGrid w:val="0"/>
              <w:spacing w:line="240" w:lineRule="auto"/>
              <w:jc w:val="center"/>
              <w:rPr>
                <w:rFonts w:cs="宋体"/>
                <w:b/>
                <w:sz w:val="24"/>
              </w:rPr>
            </w:pPr>
            <w:r>
              <w:rPr>
                <w:rFonts w:cs="宋体"/>
                <w:b/>
                <w:sz w:val="24"/>
              </w:rPr>
              <w:t>服务期限</w:t>
            </w:r>
          </w:p>
        </w:tc>
        <w:tc>
          <w:tcPr>
            <w:tcW w:w="0" w:type="auto"/>
            <w:tcBorders>
              <w:top w:val="single" w:color="000000" w:sz="4" w:space="0"/>
              <w:left w:val="single" w:color="000000" w:sz="4" w:space="0"/>
              <w:bottom w:val="single" w:color="000000" w:sz="4" w:space="0"/>
              <w:right w:val="single" w:color="000000" w:sz="4" w:space="0"/>
            </w:tcBorders>
            <w:vAlign w:val="center"/>
          </w:tcPr>
          <w:p w14:paraId="1A7B682B">
            <w:pPr>
              <w:pStyle w:val="174"/>
              <w:snapToGrid w:val="0"/>
              <w:spacing w:line="240" w:lineRule="auto"/>
              <w:jc w:val="center"/>
              <w:rPr>
                <w:rFonts w:cs="宋体"/>
                <w:b/>
                <w:sz w:val="24"/>
              </w:rPr>
            </w:pPr>
            <w:r>
              <w:rPr>
                <w:rFonts w:cs="宋体"/>
                <w:b/>
                <w:sz w:val="24"/>
              </w:rPr>
              <w:t>技术要求</w:t>
            </w:r>
          </w:p>
        </w:tc>
        <w:tc>
          <w:tcPr>
            <w:tcW w:w="1238" w:type="dxa"/>
            <w:tcBorders>
              <w:top w:val="single" w:color="000000" w:sz="4" w:space="0"/>
              <w:left w:val="single" w:color="000000" w:sz="4" w:space="0"/>
              <w:bottom w:val="single" w:color="000000" w:sz="4" w:space="0"/>
              <w:right w:val="single" w:color="000000" w:sz="4" w:space="0"/>
            </w:tcBorders>
            <w:vAlign w:val="center"/>
          </w:tcPr>
          <w:p w14:paraId="0B58023B">
            <w:pPr>
              <w:pStyle w:val="174"/>
              <w:snapToGrid w:val="0"/>
              <w:spacing w:line="240" w:lineRule="auto"/>
              <w:jc w:val="center"/>
              <w:rPr>
                <w:rFonts w:cs="宋体"/>
                <w:b/>
                <w:sz w:val="24"/>
              </w:rPr>
            </w:pPr>
            <w:r>
              <w:rPr>
                <w:rFonts w:hint="eastAsia" w:cs="宋体"/>
                <w:b/>
                <w:sz w:val="24"/>
                <w:lang w:eastAsia="zh-CN"/>
              </w:rPr>
              <w:t>管理费</w:t>
            </w:r>
            <w:r>
              <w:rPr>
                <w:rFonts w:cs="宋体"/>
                <w:b/>
                <w:sz w:val="24"/>
              </w:rPr>
              <w:t>最</w:t>
            </w:r>
            <w:r>
              <w:rPr>
                <w:rFonts w:hint="eastAsia" w:cs="宋体"/>
                <w:b/>
                <w:sz w:val="24"/>
                <w:lang w:eastAsia="zh-CN"/>
              </w:rPr>
              <w:t>低</w:t>
            </w:r>
            <w:r>
              <w:rPr>
                <w:rFonts w:cs="宋体"/>
                <w:b/>
                <w:sz w:val="24"/>
              </w:rPr>
              <w:t>限价</w:t>
            </w:r>
          </w:p>
        </w:tc>
      </w:tr>
      <w:tr w14:paraId="169093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Merge w:val="restart"/>
            <w:tcBorders>
              <w:top w:val="single" w:color="000000" w:sz="4" w:space="0"/>
              <w:left w:val="single" w:color="000000" w:sz="4" w:space="0"/>
              <w:right w:val="single" w:color="000000" w:sz="4" w:space="0"/>
            </w:tcBorders>
            <w:vAlign w:val="center"/>
          </w:tcPr>
          <w:p w14:paraId="0420CFAC">
            <w:pPr>
              <w:pStyle w:val="174"/>
              <w:snapToGrid w:val="0"/>
              <w:spacing w:line="240" w:lineRule="auto"/>
              <w:jc w:val="center"/>
              <w:rPr>
                <w:rFonts w:cs="宋体"/>
                <w:sz w:val="24"/>
              </w:rPr>
            </w:pPr>
            <w:r>
              <w:rPr>
                <w:rFonts w:cs="宋体"/>
                <w:sz w:val="24"/>
              </w:rPr>
              <w:t>1</w:t>
            </w:r>
          </w:p>
        </w:tc>
        <w:tc>
          <w:tcPr>
            <w:tcW w:w="2175" w:type="dxa"/>
            <w:vMerge w:val="restart"/>
            <w:tcBorders>
              <w:top w:val="single" w:color="000000" w:sz="4" w:space="0"/>
              <w:left w:val="single" w:color="000000" w:sz="4" w:space="0"/>
              <w:right w:val="single" w:color="000000" w:sz="4" w:space="0"/>
            </w:tcBorders>
            <w:vAlign w:val="center"/>
          </w:tcPr>
          <w:p w14:paraId="79CBBE44">
            <w:pPr>
              <w:pStyle w:val="174"/>
              <w:snapToGrid w:val="0"/>
              <w:spacing w:line="240" w:lineRule="auto"/>
              <w:rPr>
                <w:sz w:val="24"/>
                <w:szCs w:val="24"/>
                <w:lang w:eastAsia="zh-CN"/>
              </w:rPr>
            </w:pPr>
            <w:r>
              <w:rPr>
                <w:rFonts w:hint="eastAsia"/>
                <w:sz w:val="24"/>
                <w:szCs w:val="24"/>
                <w:lang w:eastAsia="zh-CN"/>
              </w:rPr>
              <w:t>自贡丰源康泰</w:t>
            </w:r>
          </w:p>
          <w:p w14:paraId="184F2D2B">
            <w:pPr>
              <w:pStyle w:val="174"/>
              <w:snapToGrid w:val="0"/>
              <w:spacing w:line="240" w:lineRule="auto"/>
              <w:rPr>
                <w:sz w:val="24"/>
                <w:szCs w:val="24"/>
                <w:lang w:eastAsia="zh-CN"/>
              </w:rPr>
            </w:pPr>
            <w:r>
              <w:rPr>
                <w:rFonts w:hint="eastAsia"/>
                <w:sz w:val="24"/>
                <w:szCs w:val="24"/>
                <w:lang w:eastAsia="zh-CN"/>
              </w:rPr>
              <w:t>健康科技有限公司</w:t>
            </w:r>
          </w:p>
          <w:p w14:paraId="308484D7">
            <w:pPr>
              <w:pStyle w:val="174"/>
              <w:snapToGrid w:val="0"/>
              <w:spacing w:line="240" w:lineRule="auto"/>
              <w:rPr>
                <w:rFonts w:cs="宋体"/>
                <w:sz w:val="24"/>
              </w:rPr>
            </w:pPr>
            <w:r>
              <w:rPr>
                <w:rFonts w:hint="eastAsia"/>
                <w:sz w:val="24"/>
                <w:szCs w:val="24"/>
                <w:lang w:eastAsia="zh-CN"/>
              </w:rPr>
              <w:t>视光中心运营</w:t>
            </w:r>
            <w:r>
              <w:rPr>
                <w:rFonts w:hint="eastAsia"/>
                <w:sz w:val="24"/>
                <w:szCs w:val="24"/>
              </w:rPr>
              <w:t>服务</w:t>
            </w:r>
          </w:p>
        </w:tc>
        <w:tc>
          <w:tcPr>
            <w:tcW w:w="3133" w:type="dxa"/>
            <w:tcBorders>
              <w:top w:val="single" w:color="000000" w:sz="4" w:space="0"/>
              <w:left w:val="single" w:color="000000" w:sz="4" w:space="0"/>
              <w:bottom w:val="single" w:color="000000" w:sz="4" w:space="0"/>
              <w:right w:val="single" w:color="000000" w:sz="4" w:space="0"/>
            </w:tcBorders>
            <w:vAlign w:val="center"/>
          </w:tcPr>
          <w:p w14:paraId="66E90B1D">
            <w:pPr>
              <w:pStyle w:val="174"/>
              <w:snapToGrid w:val="0"/>
              <w:spacing w:line="240" w:lineRule="auto"/>
              <w:jc w:val="center"/>
              <w:rPr>
                <w:rFonts w:cs="宋体"/>
                <w:sz w:val="24"/>
                <w:lang w:eastAsia="zh-CN"/>
              </w:rPr>
            </w:pPr>
            <w:r>
              <w:rPr>
                <w:rFonts w:hint="eastAsia" w:cs="宋体"/>
                <w:sz w:val="24"/>
                <w:lang w:eastAsia="zh-CN"/>
              </w:rPr>
              <w:t>验光配镜项目服务</w:t>
            </w:r>
          </w:p>
        </w:tc>
        <w:tc>
          <w:tcPr>
            <w:tcW w:w="936" w:type="dxa"/>
            <w:vMerge w:val="restart"/>
            <w:tcBorders>
              <w:top w:val="single" w:color="000000" w:sz="4" w:space="0"/>
              <w:left w:val="single" w:color="000000" w:sz="4" w:space="0"/>
              <w:right w:val="single" w:color="000000" w:sz="4" w:space="0"/>
            </w:tcBorders>
            <w:vAlign w:val="center"/>
          </w:tcPr>
          <w:p w14:paraId="155C3DAA">
            <w:pPr>
              <w:pStyle w:val="174"/>
              <w:snapToGrid w:val="0"/>
              <w:spacing w:line="240" w:lineRule="auto"/>
              <w:jc w:val="both"/>
              <w:rPr>
                <w:rFonts w:cs="宋体"/>
                <w:sz w:val="24"/>
              </w:rPr>
            </w:pPr>
            <w:r>
              <w:rPr>
                <w:rFonts w:hint="eastAsia" w:cs="宋体"/>
                <w:sz w:val="24"/>
                <w:lang w:eastAsia="zh-CN"/>
              </w:rPr>
              <w:t>3</w:t>
            </w:r>
            <w:r>
              <w:rPr>
                <w:rFonts w:cs="宋体"/>
                <w:sz w:val="24"/>
              </w:rPr>
              <w:t>年</w:t>
            </w:r>
          </w:p>
        </w:tc>
        <w:tc>
          <w:tcPr>
            <w:tcW w:w="0" w:type="auto"/>
            <w:vMerge w:val="restart"/>
            <w:tcBorders>
              <w:top w:val="single" w:color="000000" w:sz="4" w:space="0"/>
              <w:left w:val="single" w:color="000000" w:sz="4" w:space="0"/>
              <w:right w:val="single" w:color="000000" w:sz="4" w:space="0"/>
            </w:tcBorders>
            <w:vAlign w:val="center"/>
          </w:tcPr>
          <w:p w14:paraId="0EB66C57">
            <w:pPr>
              <w:pStyle w:val="174"/>
              <w:snapToGrid w:val="0"/>
              <w:spacing w:line="240" w:lineRule="auto"/>
              <w:jc w:val="center"/>
              <w:rPr>
                <w:rFonts w:cs="宋体"/>
                <w:sz w:val="24"/>
              </w:rPr>
            </w:pPr>
            <w:r>
              <w:rPr>
                <w:rFonts w:cs="宋体"/>
                <w:sz w:val="24"/>
              </w:rPr>
              <w:t>详见招标文件</w:t>
            </w:r>
          </w:p>
        </w:tc>
        <w:tc>
          <w:tcPr>
            <w:tcW w:w="1238" w:type="dxa"/>
            <w:vMerge w:val="restart"/>
            <w:tcBorders>
              <w:top w:val="single" w:color="000000" w:sz="4" w:space="0"/>
              <w:left w:val="single" w:color="000000" w:sz="4" w:space="0"/>
              <w:right w:val="single" w:color="000000" w:sz="4" w:space="0"/>
            </w:tcBorders>
            <w:vAlign w:val="center"/>
          </w:tcPr>
          <w:p w14:paraId="07670752">
            <w:pPr>
              <w:pStyle w:val="174"/>
              <w:snapToGrid w:val="0"/>
              <w:spacing w:line="240" w:lineRule="auto"/>
              <w:jc w:val="center"/>
              <w:rPr>
                <w:rFonts w:cs="宋体"/>
                <w:sz w:val="24"/>
                <w:highlight w:val="yellow"/>
                <w:lang w:eastAsia="zh-CN"/>
              </w:rPr>
            </w:pPr>
            <w:r>
              <w:rPr>
                <w:rFonts w:hint="eastAsia" w:cs="宋体"/>
                <w:sz w:val="24"/>
                <w:lang w:eastAsia="zh-CN"/>
              </w:rPr>
              <w:t>12.00%</w:t>
            </w:r>
          </w:p>
        </w:tc>
      </w:tr>
      <w:tr w14:paraId="3036B0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Merge w:val="continue"/>
            <w:tcBorders>
              <w:left w:val="single" w:color="000000" w:sz="4" w:space="0"/>
              <w:right w:val="single" w:color="000000" w:sz="4" w:space="0"/>
            </w:tcBorders>
            <w:vAlign w:val="center"/>
          </w:tcPr>
          <w:p w14:paraId="43803697">
            <w:pPr>
              <w:pStyle w:val="174"/>
              <w:snapToGrid w:val="0"/>
              <w:spacing w:line="240" w:lineRule="auto"/>
              <w:jc w:val="center"/>
              <w:rPr>
                <w:rFonts w:cs="宋体"/>
                <w:sz w:val="24"/>
              </w:rPr>
            </w:pPr>
          </w:p>
        </w:tc>
        <w:tc>
          <w:tcPr>
            <w:tcW w:w="2175" w:type="dxa"/>
            <w:vMerge w:val="continue"/>
            <w:tcBorders>
              <w:left w:val="single" w:color="000000" w:sz="4" w:space="0"/>
              <w:right w:val="single" w:color="000000" w:sz="4" w:space="0"/>
            </w:tcBorders>
            <w:vAlign w:val="center"/>
          </w:tcPr>
          <w:p w14:paraId="28BB078A">
            <w:pPr>
              <w:pStyle w:val="174"/>
              <w:snapToGrid w:val="0"/>
              <w:spacing w:line="240" w:lineRule="auto"/>
              <w:rPr>
                <w:rFonts w:cs="宋体"/>
                <w:kern w:val="2"/>
                <w:sz w:val="24"/>
                <w:highlight w:val="yellow"/>
              </w:rPr>
            </w:pPr>
          </w:p>
        </w:tc>
        <w:tc>
          <w:tcPr>
            <w:tcW w:w="3133" w:type="dxa"/>
            <w:tcBorders>
              <w:top w:val="single" w:color="000000" w:sz="4" w:space="0"/>
              <w:left w:val="single" w:color="000000" w:sz="4" w:space="0"/>
              <w:bottom w:val="single" w:color="000000" w:sz="4" w:space="0"/>
              <w:right w:val="single" w:color="000000" w:sz="4" w:space="0"/>
            </w:tcBorders>
            <w:vAlign w:val="center"/>
          </w:tcPr>
          <w:p w14:paraId="2A1CF3F4">
            <w:pPr>
              <w:pStyle w:val="174"/>
              <w:snapToGrid w:val="0"/>
              <w:spacing w:line="240" w:lineRule="auto"/>
              <w:jc w:val="center"/>
              <w:rPr>
                <w:rFonts w:cs="宋体"/>
                <w:sz w:val="24"/>
                <w:lang w:eastAsia="zh-CN"/>
              </w:rPr>
            </w:pPr>
            <w:r>
              <w:rPr>
                <w:rFonts w:hint="eastAsia" w:cs="宋体"/>
                <w:sz w:val="24"/>
                <w:lang w:eastAsia="zh-CN"/>
              </w:rPr>
              <w:t>儿童青少年近视防控服务</w:t>
            </w:r>
          </w:p>
        </w:tc>
        <w:tc>
          <w:tcPr>
            <w:tcW w:w="936" w:type="dxa"/>
            <w:vMerge w:val="continue"/>
            <w:tcBorders>
              <w:left w:val="single" w:color="000000" w:sz="4" w:space="0"/>
              <w:right w:val="single" w:color="000000" w:sz="4" w:space="0"/>
            </w:tcBorders>
            <w:vAlign w:val="center"/>
          </w:tcPr>
          <w:p w14:paraId="33C7A1AC">
            <w:pPr>
              <w:pStyle w:val="174"/>
              <w:snapToGrid w:val="0"/>
              <w:spacing w:line="240" w:lineRule="auto"/>
              <w:jc w:val="center"/>
              <w:rPr>
                <w:rFonts w:cs="宋体"/>
                <w:sz w:val="24"/>
                <w:lang w:eastAsia="zh-CN"/>
              </w:rPr>
            </w:pPr>
          </w:p>
        </w:tc>
        <w:tc>
          <w:tcPr>
            <w:tcW w:w="0" w:type="auto"/>
            <w:vMerge w:val="continue"/>
            <w:tcBorders>
              <w:left w:val="single" w:color="000000" w:sz="4" w:space="0"/>
              <w:right w:val="single" w:color="000000" w:sz="4" w:space="0"/>
            </w:tcBorders>
            <w:vAlign w:val="center"/>
          </w:tcPr>
          <w:p w14:paraId="0C9208A6">
            <w:pPr>
              <w:pStyle w:val="174"/>
              <w:snapToGrid w:val="0"/>
              <w:spacing w:line="240" w:lineRule="auto"/>
              <w:jc w:val="center"/>
              <w:rPr>
                <w:rFonts w:cs="宋体"/>
                <w:sz w:val="24"/>
                <w:lang w:eastAsia="zh-CN"/>
              </w:rPr>
            </w:pPr>
          </w:p>
        </w:tc>
        <w:tc>
          <w:tcPr>
            <w:tcW w:w="1238" w:type="dxa"/>
            <w:vMerge w:val="continue"/>
            <w:tcBorders>
              <w:left w:val="single" w:color="000000" w:sz="4" w:space="0"/>
              <w:right w:val="single" w:color="000000" w:sz="4" w:space="0"/>
            </w:tcBorders>
            <w:vAlign w:val="center"/>
          </w:tcPr>
          <w:p w14:paraId="59626E84">
            <w:pPr>
              <w:pStyle w:val="174"/>
              <w:snapToGrid w:val="0"/>
              <w:spacing w:line="240" w:lineRule="auto"/>
              <w:jc w:val="right"/>
              <w:rPr>
                <w:rFonts w:cs="宋体"/>
                <w:sz w:val="24"/>
                <w:highlight w:val="yellow"/>
                <w:lang w:eastAsia="zh-CN"/>
              </w:rPr>
            </w:pPr>
          </w:p>
        </w:tc>
      </w:tr>
      <w:tr w14:paraId="25B87A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Merge w:val="continue"/>
            <w:tcBorders>
              <w:left w:val="single" w:color="000000" w:sz="4" w:space="0"/>
              <w:right w:val="single" w:color="000000" w:sz="4" w:space="0"/>
            </w:tcBorders>
            <w:vAlign w:val="center"/>
          </w:tcPr>
          <w:p w14:paraId="3D132E42">
            <w:pPr>
              <w:pStyle w:val="174"/>
              <w:snapToGrid w:val="0"/>
              <w:spacing w:line="240" w:lineRule="auto"/>
              <w:jc w:val="center"/>
              <w:rPr>
                <w:rFonts w:cs="宋体"/>
                <w:sz w:val="24"/>
                <w:highlight w:val="yellow"/>
                <w:lang w:eastAsia="zh-CN"/>
              </w:rPr>
            </w:pPr>
          </w:p>
        </w:tc>
        <w:tc>
          <w:tcPr>
            <w:tcW w:w="2175" w:type="dxa"/>
            <w:vMerge w:val="continue"/>
            <w:tcBorders>
              <w:left w:val="single" w:color="000000" w:sz="4" w:space="0"/>
              <w:right w:val="single" w:color="000000" w:sz="4" w:space="0"/>
            </w:tcBorders>
            <w:vAlign w:val="center"/>
          </w:tcPr>
          <w:p w14:paraId="23E2729E">
            <w:pPr>
              <w:pStyle w:val="174"/>
              <w:snapToGrid w:val="0"/>
              <w:spacing w:line="240" w:lineRule="auto"/>
              <w:rPr>
                <w:rFonts w:cs="宋体"/>
                <w:kern w:val="2"/>
                <w:sz w:val="24"/>
                <w:highlight w:val="yellow"/>
                <w:lang w:eastAsia="zh-CN"/>
              </w:rPr>
            </w:pPr>
          </w:p>
        </w:tc>
        <w:tc>
          <w:tcPr>
            <w:tcW w:w="3133" w:type="dxa"/>
            <w:tcBorders>
              <w:top w:val="single" w:color="000000" w:sz="4" w:space="0"/>
              <w:left w:val="single" w:color="000000" w:sz="4" w:space="0"/>
              <w:bottom w:val="single" w:color="000000" w:sz="4" w:space="0"/>
              <w:right w:val="single" w:color="000000" w:sz="4" w:space="0"/>
            </w:tcBorders>
            <w:vAlign w:val="center"/>
          </w:tcPr>
          <w:p w14:paraId="4153ECAB">
            <w:pPr>
              <w:pStyle w:val="174"/>
              <w:snapToGrid w:val="0"/>
              <w:spacing w:line="240" w:lineRule="auto"/>
              <w:jc w:val="center"/>
              <w:rPr>
                <w:rFonts w:cs="宋体"/>
                <w:sz w:val="24"/>
                <w:lang w:eastAsia="zh-CN"/>
              </w:rPr>
            </w:pPr>
            <w:r>
              <w:rPr>
                <w:rFonts w:hint="eastAsia" w:cs="宋体"/>
                <w:sz w:val="24"/>
                <w:lang w:eastAsia="zh-CN"/>
              </w:rPr>
              <w:t>角膜接触镜验配项目服务（包括硬镜和软镜）</w:t>
            </w:r>
          </w:p>
        </w:tc>
        <w:tc>
          <w:tcPr>
            <w:tcW w:w="936" w:type="dxa"/>
            <w:vMerge w:val="continue"/>
            <w:tcBorders>
              <w:left w:val="single" w:color="000000" w:sz="4" w:space="0"/>
              <w:right w:val="single" w:color="000000" w:sz="4" w:space="0"/>
            </w:tcBorders>
            <w:vAlign w:val="center"/>
          </w:tcPr>
          <w:p w14:paraId="4BAB2AB8">
            <w:pPr>
              <w:pStyle w:val="174"/>
              <w:snapToGrid w:val="0"/>
              <w:spacing w:line="240" w:lineRule="auto"/>
              <w:jc w:val="center"/>
              <w:rPr>
                <w:rFonts w:cs="宋体"/>
                <w:sz w:val="24"/>
                <w:lang w:eastAsia="zh-CN"/>
              </w:rPr>
            </w:pPr>
          </w:p>
        </w:tc>
        <w:tc>
          <w:tcPr>
            <w:tcW w:w="0" w:type="auto"/>
            <w:vMerge w:val="continue"/>
            <w:tcBorders>
              <w:left w:val="single" w:color="000000" w:sz="4" w:space="0"/>
              <w:right w:val="single" w:color="000000" w:sz="4" w:space="0"/>
            </w:tcBorders>
            <w:vAlign w:val="center"/>
          </w:tcPr>
          <w:p w14:paraId="0092C371">
            <w:pPr>
              <w:pStyle w:val="174"/>
              <w:snapToGrid w:val="0"/>
              <w:spacing w:line="240" w:lineRule="auto"/>
              <w:jc w:val="center"/>
              <w:rPr>
                <w:rFonts w:cs="宋体"/>
                <w:sz w:val="24"/>
                <w:lang w:eastAsia="zh-CN"/>
              </w:rPr>
            </w:pPr>
          </w:p>
        </w:tc>
        <w:tc>
          <w:tcPr>
            <w:tcW w:w="1238" w:type="dxa"/>
            <w:vMerge w:val="continue"/>
            <w:tcBorders>
              <w:left w:val="single" w:color="000000" w:sz="4" w:space="0"/>
              <w:right w:val="single" w:color="000000" w:sz="4" w:space="0"/>
            </w:tcBorders>
            <w:vAlign w:val="center"/>
          </w:tcPr>
          <w:p w14:paraId="19607D6D">
            <w:pPr>
              <w:pStyle w:val="174"/>
              <w:snapToGrid w:val="0"/>
              <w:spacing w:line="240" w:lineRule="auto"/>
              <w:jc w:val="right"/>
              <w:rPr>
                <w:rFonts w:cs="宋体"/>
                <w:sz w:val="24"/>
                <w:highlight w:val="yellow"/>
                <w:lang w:eastAsia="zh-CN"/>
              </w:rPr>
            </w:pPr>
          </w:p>
        </w:tc>
      </w:tr>
      <w:tr w14:paraId="64A627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44" w:hRule="atLeast"/>
          <w:jc w:val="center"/>
        </w:trPr>
        <w:tc>
          <w:tcPr>
            <w:tcW w:w="692" w:type="dxa"/>
            <w:vMerge w:val="continue"/>
            <w:tcBorders>
              <w:left w:val="single" w:color="000000" w:sz="4" w:space="0"/>
              <w:bottom w:val="single" w:color="000000" w:sz="4" w:space="0"/>
              <w:right w:val="single" w:color="000000" w:sz="4" w:space="0"/>
            </w:tcBorders>
            <w:vAlign w:val="center"/>
          </w:tcPr>
          <w:p w14:paraId="315330B0">
            <w:pPr>
              <w:pStyle w:val="174"/>
              <w:snapToGrid w:val="0"/>
              <w:spacing w:line="240" w:lineRule="auto"/>
              <w:jc w:val="center"/>
              <w:rPr>
                <w:rFonts w:cs="宋体"/>
                <w:sz w:val="24"/>
                <w:highlight w:val="yellow"/>
                <w:lang w:eastAsia="zh-CN"/>
              </w:rPr>
            </w:pPr>
          </w:p>
        </w:tc>
        <w:tc>
          <w:tcPr>
            <w:tcW w:w="2175" w:type="dxa"/>
            <w:vMerge w:val="continue"/>
            <w:tcBorders>
              <w:left w:val="single" w:color="000000" w:sz="4" w:space="0"/>
              <w:bottom w:val="single" w:color="000000" w:sz="4" w:space="0"/>
              <w:right w:val="single" w:color="000000" w:sz="4" w:space="0"/>
            </w:tcBorders>
            <w:vAlign w:val="center"/>
          </w:tcPr>
          <w:p w14:paraId="5F7F99ED">
            <w:pPr>
              <w:pStyle w:val="174"/>
              <w:snapToGrid w:val="0"/>
              <w:spacing w:line="240" w:lineRule="auto"/>
              <w:rPr>
                <w:rFonts w:cs="宋体"/>
                <w:kern w:val="2"/>
                <w:sz w:val="24"/>
                <w:highlight w:val="yellow"/>
                <w:lang w:eastAsia="zh-CN"/>
              </w:rPr>
            </w:pPr>
          </w:p>
        </w:tc>
        <w:tc>
          <w:tcPr>
            <w:tcW w:w="3133" w:type="dxa"/>
            <w:tcBorders>
              <w:top w:val="single" w:color="000000" w:sz="4" w:space="0"/>
              <w:left w:val="single" w:color="000000" w:sz="4" w:space="0"/>
              <w:bottom w:val="single" w:color="000000" w:sz="4" w:space="0"/>
              <w:right w:val="single" w:color="000000" w:sz="4" w:space="0"/>
            </w:tcBorders>
            <w:vAlign w:val="center"/>
          </w:tcPr>
          <w:p w14:paraId="3D411451">
            <w:pPr>
              <w:pStyle w:val="174"/>
              <w:snapToGrid w:val="0"/>
              <w:spacing w:line="240" w:lineRule="auto"/>
              <w:jc w:val="center"/>
              <w:rPr>
                <w:rFonts w:cs="宋体"/>
                <w:sz w:val="24"/>
                <w:lang w:eastAsia="zh-CN"/>
              </w:rPr>
            </w:pPr>
            <w:r>
              <w:rPr>
                <w:rFonts w:hint="eastAsia" w:cs="宋体"/>
                <w:sz w:val="24"/>
                <w:lang w:eastAsia="zh-CN"/>
              </w:rPr>
              <w:t>低视力康复项目服务</w:t>
            </w:r>
          </w:p>
        </w:tc>
        <w:tc>
          <w:tcPr>
            <w:tcW w:w="936" w:type="dxa"/>
            <w:vMerge w:val="continue"/>
            <w:tcBorders>
              <w:left w:val="single" w:color="000000" w:sz="4" w:space="0"/>
              <w:bottom w:val="single" w:color="000000" w:sz="4" w:space="0"/>
              <w:right w:val="single" w:color="000000" w:sz="4" w:space="0"/>
            </w:tcBorders>
            <w:vAlign w:val="center"/>
          </w:tcPr>
          <w:p w14:paraId="04B54949">
            <w:pPr>
              <w:pStyle w:val="174"/>
              <w:snapToGrid w:val="0"/>
              <w:spacing w:line="240" w:lineRule="auto"/>
              <w:jc w:val="center"/>
              <w:rPr>
                <w:rFonts w:cs="宋体"/>
                <w:sz w:val="24"/>
              </w:rPr>
            </w:pPr>
          </w:p>
        </w:tc>
        <w:tc>
          <w:tcPr>
            <w:tcW w:w="1624" w:type="dxa"/>
            <w:vMerge w:val="continue"/>
            <w:tcBorders>
              <w:left w:val="single" w:color="000000" w:sz="4" w:space="0"/>
              <w:bottom w:val="single" w:color="000000" w:sz="4" w:space="0"/>
              <w:right w:val="single" w:color="000000" w:sz="4" w:space="0"/>
            </w:tcBorders>
            <w:vAlign w:val="center"/>
          </w:tcPr>
          <w:p w14:paraId="39C9318A">
            <w:pPr>
              <w:pStyle w:val="174"/>
              <w:snapToGrid w:val="0"/>
              <w:spacing w:line="240" w:lineRule="auto"/>
              <w:jc w:val="center"/>
              <w:rPr>
                <w:rFonts w:cs="宋体"/>
                <w:sz w:val="24"/>
              </w:rPr>
            </w:pPr>
          </w:p>
        </w:tc>
        <w:tc>
          <w:tcPr>
            <w:tcW w:w="1238" w:type="dxa"/>
            <w:vMerge w:val="continue"/>
            <w:tcBorders>
              <w:left w:val="single" w:color="000000" w:sz="4" w:space="0"/>
              <w:bottom w:val="single" w:color="000000" w:sz="4" w:space="0"/>
              <w:right w:val="single" w:color="000000" w:sz="4" w:space="0"/>
            </w:tcBorders>
            <w:vAlign w:val="center"/>
          </w:tcPr>
          <w:p w14:paraId="767E4190">
            <w:pPr>
              <w:pStyle w:val="174"/>
              <w:snapToGrid w:val="0"/>
              <w:spacing w:line="240" w:lineRule="auto"/>
              <w:jc w:val="right"/>
              <w:rPr>
                <w:rFonts w:cs="宋体"/>
                <w:sz w:val="24"/>
                <w:highlight w:val="yellow"/>
              </w:rPr>
            </w:pPr>
          </w:p>
        </w:tc>
      </w:tr>
      <w:tr w14:paraId="11D98F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44" w:hRule="atLeast"/>
          <w:jc w:val="center"/>
        </w:trPr>
        <w:tc>
          <w:tcPr>
            <w:tcW w:w="692" w:type="dxa"/>
            <w:vMerge w:val="continue"/>
            <w:tcBorders>
              <w:left w:val="single" w:color="000000" w:sz="4" w:space="0"/>
              <w:bottom w:val="single" w:color="000000" w:sz="4" w:space="0"/>
              <w:right w:val="single" w:color="000000" w:sz="4" w:space="0"/>
            </w:tcBorders>
            <w:vAlign w:val="center"/>
          </w:tcPr>
          <w:p w14:paraId="554AF7C5">
            <w:pPr>
              <w:pStyle w:val="174"/>
              <w:snapToGrid w:val="0"/>
              <w:spacing w:line="240" w:lineRule="auto"/>
            </w:pPr>
          </w:p>
        </w:tc>
        <w:tc>
          <w:tcPr>
            <w:tcW w:w="2175" w:type="dxa"/>
            <w:vMerge w:val="continue"/>
            <w:tcBorders>
              <w:left w:val="single" w:color="000000" w:sz="4" w:space="0"/>
              <w:bottom w:val="single" w:color="000000" w:sz="4" w:space="0"/>
              <w:right w:val="single" w:color="000000" w:sz="4" w:space="0"/>
            </w:tcBorders>
            <w:vAlign w:val="center"/>
          </w:tcPr>
          <w:p w14:paraId="381027D2">
            <w:pPr>
              <w:pStyle w:val="174"/>
              <w:snapToGrid w:val="0"/>
              <w:spacing w:line="240" w:lineRule="auto"/>
            </w:pPr>
          </w:p>
        </w:tc>
        <w:tc>
          <w:tcPr>
            <w:tcW w:w="3133" w:type="dxa"/>
            <w:tcBorders>
              <w:top w:val="single" w:color="000000" w:sz="4" w:space="0"/>
              <w:left w:val="single" w:color="000000" w:sz="4" w:space="0"/>
              <w:bottom w:val="single" w:color="000000" w:sz="4" w:space="0"/>
              <w:right w:val="single" w:color="000000" w:sz="4" w:space="0"/>
            </w:tcBorders>
            <w:vAlign w:val="center"/>
          </w:tcPr>
          <w:p w14:paraId="5ED4624D">
            <w:pPr>
              <w:pStyle w:val="174"/>
              <w:snapToGrid w:val="0"/>
              <w:spacing w:line="240" w:lineRule="auto"/>
              <w:jc w:val="center"/>
              <w:rPr>
                <w:rFonts w:cs="宋体"/>
                <w:sz w:val="24"/>
                <w:lang w:eastAsia="zh-CN"/>
              </w:rPr>
            </w:pPr>
            <w:r>
              <w:rPr>
                <w:rFonts w:hint="eastAsia" w:cs="宋体"/>
                <w:sz w:val="24"/>
                <w:lang w:eastAsia="zh-CN"/>
              </w:rPr>
              <w:t>视功能训练项目服务</w:t>
            </w:r>
          </w:p>
        </w:tc>
        <w:tc>
          <w:tcPr>
            <w:tcW w:w="936" w:type="dxa"/>
            <w:vMerge w:val="continue"/>
            <w:tcBorders>
              <w:left w:val="single" w:color="000000" w:sz="4" w:space="0"/>
              <w:bottom w:val="single" w:color="000000" w:sz="4" w:space="0"/>
              <w:right w:val="single" w:color="000000" w:sz="4" w:space="0"/>
            </w:tcBorders>
            <w:vAlign w:val="center"/>
          </w:tcPr>
          <w:p w14:paraId="14CC1AF6">
            <w:pPr>
              <w:pStyle w:val="174"/>
              <w:snapToGrid w:val="0"/>
              <w:spacing w:line="240" w:lineRule="auto"/>
              <w:rPr>
                <w:rFonts w:cs="宋体"/>
                <w:sz w:val="24"/>
                <w:lang w:eastAsia="zh-CN"/>
              </w:rPr>
            </w:pPr>
          </w:p>
        </w:tc>
        <w:tc>
          <w:tcPr>
            <w:tcW w:w="1624" w:type="dxa"/>
            <w:vMerge w:val="continue"/>
            <w:tcBorders>
              <w:left w:val="single" w:color="000000" w:sz="4" w:space="0"/>
              <w:bottom w:val="single" w:color="000000" w:sz="4" w:space="0"/>
              <w:right w:val="single" w:color="000000" w:sz="4" w:space="0"/>
            </w:tcBorders>
            <w:vAlign w:val="center"/>
          </w:tcPr>
          <w:p w14:paraId="753313EC">
            <w:pPr>
              <w:pStyle w:val="174"/>
              <w:snapToGrid w:val="0"/>
              <w:spacing w:line="240" w:lineRule="auto"/>
              <w:rPr>
                <w:rFonts w:cs="宋体"/>
                <w:sz w:val="24"/>
                <w:lang w:eastAsia="zh-CN"/>
              </w:rPr>
            </w:pPr>
          </w:p>
        </w:tc>
        <w:tc>
          <w:tcPr>
            <w:tcW w:w="1238" w:type="dxa"/>
            <w:vMerge w:val="continue"/>
            <w:tcBorders>
              <w:left w:val="single" w:color="000000" w:sz="4" w:space="0"/>
              <w:bottom w:val="single" w:color="000000" w:sz="4" w:space="0"/>
              <w:right w:val="single" w:color="000000" w:sz="4" w:space="0"/>
            </w:tcBorders>
            <w:vAlign w:val="center"/>
          </w:tcPr>
          <w:p w14:paraId="43904CA8">
            <w:pPr>
              <w:pStyle w:val="174"/>
              <w:snapToGrid w:val="0"/>
              <w:spacing w:line="240" w:lineRule="auto"/>
              <w:rPr>
                <w:rFonts w:cs="宋体"/>
                <w:sz w:val="24"/>
                <w:lang w:eastAsia="zh-CN"/>
              </w:rPr>
            </w:pPr>
          </w:p>
        </w:tc>
      </w:tr>
      <w:tr w14:paraId="7AC114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44" w:hRule="atLeast"/>
          <w:jc w:val="center"/>
        </w:trPr>
        <w:tc>
          <w:tcPr>
            <w:tcW w:w="692" w:type="dxa"/>
            <w:vMerge w:val="continue"/>
            <w:tcBorders>
              <w:left w:val="single" w:color="000000" w:sz="4" w:space="0"/>
              <w:bottom w:val="single" w:color="000000" w:sz="4" w:space="0"/>
              <w:right w:val="single" w:color="000000" w:sz="4" w:space="0"/>
            </w:tcBorders>
            <w:vAlign w:val="center"/>
          </w:tcPr>
          <w:p w14:paraId="6264780C">
            <w:pPr>
              <w:pStyle w:val="174"/>
              <w:snapToGrid w:val="0"/>
              <w:spacing w:line="240" w:lineRule="auto"/>
              <w:rPr>
                <w:rFonts w:cs="宋体"/>
                <w:sz w:val="24"/>
                <w:lang w:eastAsia="zh-CN"/>
              </w:rPr>
            </w:pPr>
          </w:p>
        </w:tc>
        <w:tc>
          <w:tcPr>
            <w:tcW w:w="2175" w:type="dxa"/>
            <w:vMerge w:val="continue"/>
            <w:tcBorders>
              <w:left w:val="single" w:color="000000" w:sz="4" w:space="0"/>
              <w:bottom w:val="single" w:color="000000" w:sz="4" w:space="0"/>
              <w:right w:val="single" w:color="000000" w:sz="4" w:space="0"/>
            </w:tcBorders>
            <w:vAlign w:val="center"/>
          </w:tcPr>
          <w:p w14:paraId="435E592C">
            <w:pPr>
              <w:pStyle w:val="174"/>
              <w:snapToGrid w:val="0"/>
              <w:spacing w:line="240" w:lineRule="auto"/>
              <w:rPr>
                <w:rFonts w:cs="宋体"/>
                <w:sz w:val="24"/>
                <w:lang w:eastAsia="zh-CN"/>
              </w:rPr>
            </w:pPr>
          </w:p>
        </w:tc>
        <w:tc>
          <w:tcPr>
            <w:tcW w:w="3133" w:type="dxa"/>
            <w:tcBorders>
              <w:top w:val="single" w:color="000000" w:sz="4" w:space="0"/>
              <w:left w:val="single" w:color="000000" w:sz="4" w:space="0"/>
              <w:bottom w:val="single" w:color="000000" w:sz="4" w:space="0"/>
              <w:right w:val="single" w:color="000000" w:sz="4" w:space="0"/>
            </w:tcBorders>
            <w:vAlign w:val="center"/>
          </w:tcPr>
          <w:p w14:paraId="158FCDA5">
            <w:pPr>
              <w:pStyle w:val="174"/>
              <w:snapToGrid w:val="0"/>
              <w:spacing w:line="240" w:lineRule="auto"/>
              <w:jc w:val="center"/>
              <w:rPr>
                <w:rFonts w:cs="宋体"/>
                <w:sz w:val="24"/>
                <w:lang w:eastAsia="zh-CN"/>
              </w:rPr>
            </w:pPr>
            <w:r>
              <w:rPr>
                <w:rFonts w:hint="eastAsia" w:cs="宋体"/>
                <w:sz w:val="24"/>
                <w:lang w:eastAsia="zh-CN"/>
              </w:rPr>
              <w:t>眼健康筛查管理服务</w:t>
            </w:r>
          </w:p>
        </w:tc>
        <w:tc>
          <w:tcPr>
            <w:tcW w:w="936" w:type="dxa"/>
            <w:vMerge w:val="continue"/>
            <w:tcBorders>
              <w:left w:val="single" w:color="000000" w:sz="4" w:space="0"/>
              <w:bottom w:val="single" w:color="000000" w:sz="4" w:space="0"/>
              <w:right w:val="single" w:color="000000" w:sz="4" w:space="0"/>
            </w:tcBorders>
            <w:vAlign w:val="center"/>
          </w:tcPr>
          <w:p w14:paraId="48D0F28E">
            <w:pPr>
              <w:pStyle w:val="174"/>
              <w:snapToGrid w:val="0"/>
              <w:spacing w:line="240" w:lineRule="auto"/>
              <w:rPr>
                <w:rFonts w:cs="宋体"/>
                <w:sz w:val="24"/>
                <w:lang w:eastAsia="zh-CN"/>
              </w:rPr>
            </w:pPr>
          </w:p>
        </w:tc>
        <w:tc>
          <w:tcPr>
            <w:tcW w:w="1624" w:type="dxa"/>
            <w:vMerge w:val="continue"/>
            <w:tcBorders>
              <w:left w:val="single" w:color="000000" w:sz="4" w:space="0"/>
              <w:bottom w:val="single" w:color="000000" w:sz="4" w:space="0"/>
              <w:right w:val="single" w:color="000000" w:sz="4" w:space="0"/>
            </w:tcBorders>
            <w:vAlign w:val="center"/>
          </w:tcPr>
          <w:p w14:paraId="12F61398">
            <w:pPr>
              <w:pStyle w:val="174"/>
              <w:snapToGrid w:val="0"/>
              <w:spacing w:line="240" w:lineRule="auto"/>
              <w:rPr>
                <w:rFonts w:cs="宋体"/>
                <w:sz w:val="24"/>
                <w:lang w:eastAsia="zh-CN"/>
              </w:rPr>
            </w:pPr>
          </w:p>
        </w:tc>
        <w:tc>
          <w:tcPr>
            <w:tcW w:w="1238" w:type="dxa"/>
            <w:vMerge w:val="continue"/>
            <w:tcBorders>
              <w:left w:val="single" w:color="000000" w:sz="4" w:space="0"/>
              <w:bottom w:val="single" w:color="000000" w:sz="4" w:space="0"/>
              <w:right w:val="single" w:color="000000" w:sz="4" w:space="0"/>
            </w:tcBorders>
            <w:vAlign w:val="center"/>
          </w:tcPr>
          <w:p w14:paraId="055A782D">
            <w:pPr>
              <w:pStyle w:val="174"/>
              <w:snapToGrid w:val="0"/>
              <w:spacing w:line="240" w:lineRule="auto"/>
              <w:rPr>
                <w:rFonts w:cs="宋体"/>
                <w:sz w:val="24"/>
                <w:lang w:eastAsia="zh-CN"/>
              </w:rPr>
            </w:pPr>
          </w:p>
        </w:tc>
      </w:tr>
    </w:tbl>
    <w:p w14:paraId="5C3DC2D4"/>
    <w:p w14:paraId="486830FB"/>
    <w:p w14:paraId="602BF196"/>
    <w:p w14:paraId="10DFF09F"/>
    <w:p w14:paraId="7A1EB12A">
      <w:pPr>
        <w:pStyle w:val="4"/>
        <w:spacing w:before="0"/>
        <w:rPr>
          <w:lang w:eastAsia="zh-CN"/>
        </w:rPr>
      </w:pPr>
      <w:r>
        <w:rPr>
          <w:lang w:eastAsia="zh-CN"/>
        </w:rPr>
        <w:t>第三章  评标办法及评分标准</w:t>
      </w:r>
    </w:p>
    <w:p w14:paraId="067F9B50">
      <w:pPr>
        <w:ind w:firstLine="240" w:firstLineChars="100"/>
        <w:rPr>
          <w:lang w:eastAsia="zh-CN"/>
        </w:rPr>
      </w:pPr>
      <w:bookmarkStart w:id="17" w:name="__RefHeading___Toc13378_1983119206"/>
      <w:bookmarkEnd w:id="17"/>
      <w:r>
        <w:rPr>
          <w:lang w:eastAsia="zh-CN"/>
        </w:rPr>
        <w:t>为公正、公平、科学地选择中标供应商，根据有关法律法规的规定，并结合本项目的实际，制定本办法。</w:t>
      </w:r>
    </w:p>
    <w:p w14:paraId="6875F3B3">
      <w:pPr>
        <w:ind w:firstLine="480"/>
        <w:rPr>
          <w:lang w:eastAsia="zh-CN"/>
        </w:rPr>
      </w:pPr>
      <w:r>
        <w:rPr>
          <w:lang w:eastAsia="zh-CN"/>
        </w:rPr>
        <w:t>本办法适用于</w:t>
      </w:r>
      <w:r>
        <w:rPr>
          <w:u w:val="single"/>
          <w:lang w:eastAsia="zh-CN"/>
        </w:rPr>
        <w:t>【</w:t>
      </w:r>
      <w:r>
        <w:rPr>
          <w:rFonts w:hint="eastAsia"/>
          <w:u w:val="single"/>
          <w:lang w:eastAsia="zh-CN"/>
        </w:rPr>
        <w:t>自贡丰源康泰健康科技有限公司</w:t>
      </w:r>
      <w:r>
        <w:rPr>
          <w:u w:val="single"/>
          <w:lang w:eastAsia="zh-CN"/>
        </w:rPr>
        <w:t>】</w:t>
      </w:r>
      <w:r>
        <w:rPr>
          <w:lang w:eastAsia="zh-CN"/>
        </w:rPr>
        <w:t>视光中心运营服务项目的评标。</w:t>
      </w:r>
    </w:p>
    <w:p w14:paraId="1012F73E">
      <w:pPr>
        <w:pStyle w:val="5"/>
        <w:rPr>
          <w:lang w:eastAsia="zh-CN"/>
        </w:rPr>
      </w:pPr>
      <w:bookmarkStart w:id="18" w:name="__RefHeading___Toc13380_1983119206"/>
      <w:bookmarkEnd w:id="18"/>
      <w:r>
        <w:rPr>
          <w:lang w:eastAsia="zh-CN"/>
        </w:rPr>
        <w:t>一、总则</w:t>
      </w:r>
    </w:p>
    <w:p w14:paraId="42A3B780">
      <w:pPr>
        <w:ind w:firstLine="480"/>
        <w:rPr>
          <w:lang w:eastAsia="zh-CN"/>
        </w:rPr>
      </w:pPr>
      <w:r>
        <w:rPr>
          <w:lang w:eastAsia="zh-CN"/>
        </w:rPr>
        <w:t>本次评标采用综合评分法，总分为100分，其中价格分30分，技术分、商务分、资信及其他分为70分。合格供应商的评标得分为各项目汇总得分。本项目由采购人授权评标委员会确定中标供应商。评分过程中采用四舍五入法，并保留小数2位。</w:t>
      </w:r>
    </w:p>
    <w:p w14:paraId="1DC38943">
      <w:pPr>
        <w:ind w:firstLine="480"/>
        <w:rPr>
          <w:lang w:eastAsia="zh-CN"/>
        </w:rPr>
      </w:pPr>
      <w:r>
        <w:rPr>
          <w:lang w:eastAsia="zh-CN"/>
        </w:rPr>
        <w:t>供应商评标综合得分=价格分+（技术分+商务分+资信及其他分）</w:t>
      </w:r>
    </w:p>
    <w:p w14:paraId="7175880F">
      <w:pPr>
        <w:pStyle w:val="5"/>
        <w:rPr>
          <w:lang w:eastAsia="zh-CN"/>
        </w:rPr>
      </w:pPr>
      <w:bookmarkStart w:id="19" w:name="__RefHeading___Toc13382_1983119206"/>
      <w:bookmarkEnd w:id="19"/>
      <w:r>
        <w:rPr>
          <w:lang w:eastAsia="zh-CN"/>
        </w:rPr>
        <w:t>二、评标内容及标准</w:t>
      </w:r>
    </w:p>
    <w:p w14:paraId="44F1948B">
      <w:pPr>
        <w:ind w:firstLine="480"/>
        <w:rPr>
          <w:lang w:eastAsia="zh-CN"/>
        </w:rPr>
      </w:pPr>
      <w:r>
        <w:rPr>
          <w:b/>
          <w:lang w:eastAsia="zh-CN"/>
        </w:rPr>
        <w:t>（1）价格分（30分）</w:t>
      </w:r>
    </w:p>
    <w:p w14:paraId="02DC8452">
      <w:pPr>
        <w:ind w:firstLine="480"/>
        <w:rPr>
          <w:lang w:eastAsia="zh-CN"/>
        </w:rPr>
      </w:pPr>
      <w:r>
        <w:rPr>
          <w:lang w:eastAsia="zh-CN"/>
        </w:rPr>
        <w:t>1、价格分采用高价优先法计算，即满足招标文件要求且投标价格最高的最终有效投标报价为评标基准价，其他供应商的价格分按照下列公式计算，并保留小数2位：</w:t>
      </w:r>
    </w:p>
    <w:p w14:paraId="60CCFFE0">
      <w:pPr>
        <w:ind w:firstLine="480"/>
        <w:rPr>
          <w:lang w:eastAsia="zh-CN"/>
        </w:rPr>
      </w:pPr>
      <w:r>
        <w:rPr>
          <w:lang w:eastAsia="zh-CN"/>
        </w:rPr>
        <w:t>价格分=（投标报价/评标基准价）×30</w:t>
      </w:r>
    </w:p>
    <w:p w14:paraId="33811629">
      <w:pPr>
        <w:ind w:firstLine="480"/>
        <w:rPr>
          <w:lang w:eastAsia="zh-CN"/>
        </w:rPr>
      </w:pPr>
      <w:r>
        <w:rPr>
          <w:lang w:eastAsia="zh-CN"/>
        </w:rPr>
        <w:t>2、评标委员会在评审时发现供应商的报价明显高于其市场报价或低于成本价的，应当要求供应商书面说明并提供相关证明材料。供应商不能当场合理说明原因并提供证明材料的，评标委员会应将该供应商的投标文件作无效处理，并在评审报告中说明。</w:t>
      </w:r>
    </w:p>
    <w:p w14:paraId="7A3BEEF2">
      <w:pPr>
        <w:ind w:firstLine="480"/>
        <w:rPr>
          <w:lang w:eastAsia="zh-CN"/>
        </w:rPr>
      </w:pPr>
      <w:r>
        <w:rPr>
          <w:b/>
          <w:lang w:eastAsia="zh-CN"/>
        </w:rPr>
        <w:t>（2）技术、商务、资信及其他分（70分）</w:t>
      </w:r>
    </w:p>
    <w:p w14:paraId="684AA1C3">
      <w:pPr>
        <w:ind w:firstLine="480"/>
        <w:rPr>
          <w:lang w:eastAsia="zh-CN"/>
        </w:rPr>
      </w:pPr>
      <w:r>
        <w:rPr>
          <w:lang w:eastAsia="zh-CN"/>
        </w:rPr>
        <w:t>技术、商务、资信及其他分按照评标委员会成员的独立评分结果汇总数的算术平均分计算，计算公式为：</w:t>
      </w:r>
    </w:p>
    <w:p w14:paraId="122CAC9B">
      <w:pPr>
        <w:ind w:firstLine="480"/>
        <w:rPr>
          <w:lang w:eastAsia="zh-CN"/>
        </w:rPr>
      </w:pPr>
      <w:r>
        <w:rPr>
          <w:lang w:eastAsia="zh-CN"/>
        </w:rPr>
        <w:t>技术、商务、资信及其他分=评标委员会所有成员评分合计数/评标委员会组成人员数</w:t>
      </w:r>
    </w:p>
    <w:p w14:paraId="56E665F6">
      <w:pPr>
        <w:rPr>
          <w:lang w:eastAsia="zh-CN"/>
        </w:rPr>
      </w:pPr>
    </w:p>
    <w:p w14:paraId="5FE27C49">
      <w:pPr>
        <w:pStyle w:val="2"/>
        <w:rPr>
          <w:lang w:eastAsia="zh-CN"/>
        </w:rPr>
      </w:pPr>
    </w:p>
    <w:p w14:paraId="0EC6E845">
      <w:pPr>
        <w:rPr>
          <w:lang w:eastAsia="zh-CN"/>
        </w:rPr>
      </w:pPr>
    </w:p>
    <w:p w14:paraId="7FC95A2E">
      <w:pPr>
        <w:pStyle w:val="2"/>
        <w:rPr>
          <w:lang w:eastAsia="zh-CN"/>
        </w:rPr>
      </w:pPr>
    </w:p>
    <w:p w14:paraId="6A95A2F9">
      <w:pPr>
        <w:jc w:val="center"/>
        <w:rPr>
          <w:lang w:eastAsia="zh-CN"/>
        </w:rPr>
      </w:pPr>
      <w:r>
        <w:rPr>
          <w:b/>
          <w:lang w:eastAsia="zh-CN"/>
        </w:rPr>
        <w:t>附件：评分表（技术、商务、资信及其他分，共70分）</w:t>
      </w:r>
    </w:p>
    <w:tbl>
      <w:tblPr>
        <w:tblStyle w:val="40"/>
        <w:tblW w:w="90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1702"/>
        <w:gridCol w:w="5669"/>
        <w:gridCol w:w="849"/>
      </w:tblGrid>
      <w:tr w14:paraId="6A0B7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vAlign w:val="center"/>
          </w:tcPr>
          <w:p w14:paraId="099A2BDD">
            <w:pPr>
              <w:jc w:val="center"/>
              <w:rPr>
                <w:sz w:val="28"/>
                <w:szCs w:val="24"/>
              </w:rPr>
            </w:pPr>
            <w:r>
              <w:rPr>
                <w:b/>
                <w:sz w:val="21"/>
                <w:szCs w:val="24"/>
              </w:rPr>
              <w:t>序号</w:t>
            </w:r>
          </w:p>
        </w:tc>
        <w:tc>
          <w:tcPr>
            <w:tcW w:w="1702" w:type="dxa"/>
            <w:vAlign w:val="center"/>
          </w:tcPr>
          <w:p w14:paraId="7A9164FE">
            <w:pPr>
              <w:jc w:val="center"/>
              <w:rPr>
                <w:sz w:val="28"/>
                <w:szCs w:val="24"/>
              </w:rPr>
            </w:pPr>
            <w:r>
              <w:rPr>
                <w:b/>
                <w:sz w:val="21"/>
                <w:szCs w:val="24"/>
              </w:rPr>
              <w:t>评审项目</w:t>
            </w:r>
          </w:p>
        </w:tc>
        <w:tc>
          <w:tcPr>
            <w:tcW w:w="5669" w:type="dxa"/>
            <w:vAlign w:val="center"/>
          </w:tcPr>
          <w:p w14:paraId="36DC6ED1">
            <w:pPr>
              <w:jc w:val="center"/>
              <w:rPr>
                <w:sz w:val="28"/>
                <w:szCs w:val="24"/>
              </w:rPr>
            </w:pPr>
            <w:r>
              <w:rPr>
                <w:b/>
                <w:sz w:val="21"/>
                <w:szCs w:val="24"/>
              </w:rPr>
              <w:t>评审内容</w:t>
            </w:r>
          </w:p>
        </w:tc>
        <w:tc>
          <w:tcPr>
            <w:tcW w:w="849" w:type="dxa"/>
            <w:vAlign w:val="center"/>
          </w:tcPr>
          <w:p w14:paraId="41941C38">
            <w:pPr>
              <w:jc w:val="center"/>
              <w:rPr>
                <w:sz w:val="28"/>
                <w:szCs w:val="24"/>
              </w:rPr>
            </w:pPr>
            <w:r>
              <w:rPr>
                <w:b/>
                <w:sz w:val="21"/>
                <w:szCs w:val="24"/>
              </w:rPr>
              <w:t>分值</w:t>
            </w:r>
          </w:p>
        </w:tc>
      </w:tr>
      <w:tr w14:paraId="04FA7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vAlign w:val="center"/>
          </w:tcPr>
          <w:p w14:paraId="54F227DB">
            <w:pPr>
              <w:jc w:val="center"/>
              <w:rPr>
                <w:sz w:val="32"/>
                <w:szCs w:val="28"/>
              </w:rPr>
            </w:pPr>
            <w:r>
              <w:rPr>
                <w:sz w:val="22"/>
                <w:szCs w:val="28"/>
              </w:rPr>
              <w:t>1</w:t>
            </w:r>
          </w:p>
        </w:tc>
        <w:tc>
          <w:tcPr>
            <w:tcW w:w="1702" w:type="dxa"/>
            <w:vAlign w:val="center"/>
          </w:tcPr>
          <w:p w14:paraId="68EFD56C">
            <w:pPr>
              <w:jc w:val="center"/>
              <w:rPr>
                <w:b/>
                <w:bCs/>
                <w:sz w:val="32"/>
                <w:szCs w:val="28"/>
              </w:rPr>
            </w:pPr>
            <w:r>
              <w:rPr>
                <w:b/>
                <w:bCs/>
                <w:sz w:val="22"/>
                <w:szCs w:val="28"/>
              </w:rPr>
              <w:t>企业资质</w:t>
            </w:r>
            <w:r>
              <w:rPr>
                <w:b/>
                <w:bCs/>
                <w:sz w:val="22"/>
                <w:szCs w:val="28"/>
              </w:rPr>
              <w:br w:type="textWrapping"/>
            </w:r>
            <w:r>
              <w:rPr>
                <w:b/>
                <w:bCs/>
                <w:sz w:val="22"/>
                <w:szCs w:val="28"/>
              </w:rPr>
              <w:t>（10分）</w:t>
            </w:r>
          </w:p>
        </w:tc>
        <w:tc>
          <w:tcPr>
            <w:tcW w:w="5669" w:type="dxa"/>
          </w:tcPr>
          <w:p w14:paraId="53DB7A68">
            <w:pPr>
              <w:rPr>
                <w:lang w:eastAsia="zh-CN"/>
              </w:rPr>
            </w:pPr>
            <w:r>
              <w:rPr>
                <w:rFonts w:hint="eastAsia"/>
                <w:sz w:val="20"/>
                <w:lang w:eastAsia="zh-CN"/>
              </w:rPr>
              <w:t>1.</w:t>
            </w:r>
            <w:r>
              <w:rPr>
                <w:sz w:val="20"/>
                <w:lang w:eastAsia="zh-CN"/>
              </w:rPr>
              <w:t>具有</w:t>
            </w:r>
            <w:r>
              <w:rPr>
                <w:rFonts w:hint="eastAsia"/>
                <w:sz w:val="20"/>
                <w:lang w:eastAsia="zh-CN"/>
              </w:rPr>
              <w:t>第三类</w:t>
            </w:r>
            <w:r>
              <w:rPr>
                <w:sz w:val="20"/>
                <w:lang w:eastAsia="zh-CN"/>
              </w:rPr>
              <w:t>医疗器械经营许可证</w:t>
            </w:r>
            <w:r>
              <w:rPr>
                <w:rFonts w:hint="eastAsia"/>
                <w:sz w:val="20"/>
                <w:lang w:eastAsia="zh-CN"/>
              </w:rPr>
              <w:t>，</w:t>
            </w:r>
            <w:r>
              <w:rPr>
                <w:sz w:val="20"/>
                <w:lang w:eastAsia="zh-CN"/>
              </w:rPr>
              <w:t>得5分；</w:t>
            </w:r>
          </w:p>
          <w:p w14:paraId="25F3D062">
            <w:pPr>
              <w:rPr>
                <w:lang w:eastAsia="zh-CN"/>
              </w:rPr>
            </w:pPr>
            <w:r>
              <w:rPr>
                <w:rFonts w:hint="eastAsia"/>
                <w:sz w:val="20"/>
                <w:lang w:eastAsia="zh-CN"/>
              </w:rPr>
              <w:t>2.</w:t>
            </w:r>
            <w:r>
              <w:rPr>
                <w:sz w:val="20"/>
                <w:lang w:eastAsia="zh-CN"/>
              </w:rPr>
              <w:t>具有第二类医疗器械经营备案凭证，得</w:t>
            </w:r>
            <w:r>
              <w:rPr>
                <w:rFonts w:hint="eastAsia"/>
                <w:sz w:val="20"/>
                <w:lang w:eastAsia="zh-CN"/>
              </w:rPr>
              <w:t>3</w:t>
            </w:r>
            <w:r>
              <w:rPr>
                <w:sz w:val="20"/>
                <w:lang w:eastAsia="zh-CN"/>
              </w:rPr>
              <w:t>分；</w:t>
            </w:r>
            <w:r>
              <w:rPr>
                <w:sz w:val="20"/>
                <w:lang w:eastAsia="zh-CN"/>
              </w:rPr>
              <w:br w:type="textWrapping"/>
            </w:r>
            <w:r>
              <w:rPr>
                <w:sz w:val="20"/>
                <w:lang w:eastAsia="zh-CN"/>
              </w:rPr>
              <w:t>3、</w:t>
            </w:r>
            <w:r>
              <w:rPr>
                <w:rFonts w:hint="eastAsia"/>
                <w:sz w:val="20"/>
                <w:lang w:eastAsia="zh-CN"/>
              </w:rPr>
              <w:t>成立5年以上的注册法人企业</w:t>
            </w:r>
            <w:r>
              <w:rPr>
                <w:sz w:val="20"/>
                <w:lang w:eastAsia="zh-CN"/>
              </w:rPr>
              <w:t>，得</w:t>
            </w:r>
            <w:r>
              <w:rPr>
                <w:color w:val="0000FF"/>
                <w:sz w:val="20"/>
                <w:lang w:eastAsia="zh-CN"/>
              </w:rPr>
              <w:t>2</w:t>
            </w:r>
            <w:r>
              <w:rPr>
                <w:sz w:val="20"/>
                <w:lang w:eastAsia="zh-CN"/>
              </w:rPr>
              <w:t>分。</w:t>
            </w:r>
            <w:r>
              <w:rPr>
                <w:sz w:val="20"/>
                <w:lang w:eastAsia="zh-CN"/>
              </w:rPr>
              <w:br w:type="textWrapping"/>
            </w:r>
            <w:r>
              <w:rPr>
                <w:sz w:val="20"/>
                <w:lang w:eastAsia="zh-CN"/>
              </w:rPr>
              <w:t>注：须提供证书复印件并加盖公章，未提供不得分。</w:t>
            </w:r>
          </w:p>
        </w:tc>
        <w:tc>
          <w:tcPr>
            <w:tcW w:w="849" w:type="dxa"/>
            <w:vAlign w:val="center"/>
          </w:tcPr>
          <w:p w14:paraId="158E08F6">
            <w:pPr>
              <w:jc w:val="center"/>
              <w:rPr>
                <w:b/>
                <w:bCs/>
              </w:rPr>
            </w:pPr>
            <w:r>
              <w:rPr>
                <w:b/>
                <w:bCs/>
                <w:sz w:val="20"/>
              </w:rPr>
              <w:t>10</w:t>
            </w:r>
          </w:p>
        </w:tc>
      </w:tr>
      <w:tr w14:paraId="393F3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vAlign w:val="center"/>
          </w:tcPr>
          <w:p w14:paraId="16FAF3A7">
            <w:pPr>
              <w:jc w:val="center"/>
              <w:rPr>
                <w:sz w:val="32"/>
                <w:szCs w:val="28"/>
              </w:rPr>
            </w:pPr>
            <w:r>
              <w:rPr>
                <w:sz w:val="22"/>
                <w:szCs w:val="28"/>
              </w:rPr>
              <w:t>2</w:t>
            </w:r>
          </w:p>
        </w:tc>
        <w:tc>
          <w:tcPr>
            <w:tcW w:w="1702" w:type="dxa"/>
            <w:vAlign w:val="center"/>
          </w:tcPr>
          <w:p w14:paraId="34621633">
            <w:pPr>
              <w:jc w:val="center"/>
              <w:rPr>
                <w:b/>
                <w:bCs/>
                <w:sz w:val="32"/>
                <w:szCs w:val="28"/>
              </w:rPr>
            </w:pPr>
            <w:r>
              <w:rPr>
                <w:b/>
                <w:bCs/>
                <w:sz w:val="22"/>
                <w:szCs w:val="28"/>
              </w:rPr>
              <w:t>业绩经验</w:t>
            </w:r>
            <w:r>
              <w:rPr>
                <w:b/>
                <w:bCs/>
                <w:sz w:val="22"/>
                <w:szCs w:val="28"/>
              </w:rPr>
              <w:br w:type="textWrapping"/>
            </w:r>
            <w:r>
              <w:rPr>
                <w:b/>
                <w:bCs/>
                <w:sz w:val="22"/>
                <w:szCs w:val="28"/>
              </w:rPr>
              <w:t>（15分）</w:t>
            </w:r>
          </w:p>
        </w:tc>
        <w:tc>
          <w:tcPr>
            <w:tcW w:w="5669" w:type="dxa"/>
          </w:tcPr>
          <w:p w14:paraId="31FA75C6">
            <w:pPr>
              <w:rPr>
                <w:lang w:eastAsia="zh-CN"/>
              </w:rPr>
            </w:pPr>
            <w:r>
              <w:rPr>
                <w:sz w:val="20"/>
                <w:lang w:eastAsia="zh-CN"/>
              </w:rPr>
              <w:t>1、</w:t>
            </w:r>
            <w:r>
              <w:rPr>
                <w:rFonts w:hint="eastAsia"/>
                <w:sz w:val="20"/>
                <w:lang w:eastAsia="zh-CN"/>
              </w:rPr>
              <w:t>具有视光中心及视光眼科诊所独立运营的成功经验，每提供一个的3分，</w:t>
            </w:r>
            <w:r>
              <w:rPr>
                <w:sz w:val="20"/>
                <w:lang w:eastAsia="zh-CN"/>
              </w:rPr>
              <w:t>最高得9分；</w:t>
            </w:r>
            <w:r>
              <w:rPr>
                <w:sz w:val="20"/>
                <w:lang w:eastAsia="zh-CN"/>
              </w:rPr>
              <w:br w:type="textWrapping"/>
            </w:r>
            <w:r>
              <w:rPr>
                <w:sz w:val="20"/>
                <w:lang w:eastAsia="zh-CN"/>
              </w:rPr>
              <w:t>2、具有</w:t>
            </w:r>
            <w:r>
              <w:rPr>
                <w:rFonts w:hint="eastAsia"/>
                <w:sz w:val="20"/>
                <w:lang w:eastAsia="zh-CN"/>
              </w:rPr>
              <w:t>医疗</w:t>
            </w:r>
            <w:r>
              <w:rPr>
                <w:sz w:val="20"/>
                <w:lang w:eastAsia="zh-CN"/>
              </w:rPr>
              <w:t>机构视光中心运营服务业绩，每提供一个得2分，最高得6分。</w:t>
            </w:r>
            <w:r>
              <w:rPr>
                <w:sz w:val="20"/>
                <w:lang w:eastAsia="zh-CN"/>
              </w:rPr>
              <w:br w:type="textWrapping"/>
            </w:r>
            <w:r>
              <w:rPr>
                <w:sz w:val="20"/>
                <w:lang w:eastAsia="zh-CN"/>
              </w:rPr>
              <w:t>注：须提供合同复印件并加盖公章，未提供不得分。</w:t>
            </w:r>
          </w:p>
        </w:tc>
        <w:tc>
          <w:tcPr>
            <w:tcW w:w="849" w:type="dxa"/>
            <w:vAlign w:val="center"/>
          </w:tcPr>
          <w:p w14:paraId="7084FF33">
            <w:pPr>
              <w:jc w:val="center"/>
              <w:rPr>
                <w:b/>
                <w:bCs/>
              </w:rPr>
            </w:pPr>
            <w:r>
              <w:rPr>
                <w:b/>
                <w:bCs/>
                <w:sz w:val="20"/>
              </w:rPr>
              <w:t>15</w:t>
            </w:r>
          </w:p>
        </w:tc>
      </w:tr>
      <w:tr w14:paraId="361DA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vAlign w:val="center"/>
          </w:tcPr>
          <w:p w14:paraId="487987AB">
            <w:pPr>
              <w:jc w:val="center"/>
              <w:rPr>
                <w:sz w:val="32"/>
                <w:szCs w:val="28"/>
              </w:rPr>
            </w:pPr>
            <w:r>
              <w:rPr>
                <w:sz w:val="22"/>
                <w:szCs w:val="28"/>
              </w:rPr>
              <w:t>3</w:t>
            </w:r>
          </w:p>
        </w:tc>
        <w:tc>
          <w:tcPr>
            <w:tcW w:w="1702" w:type="dxa"/>
            <w:vAlign w:val="center"/>
          </w:tcPr>
          <w:p w14:paraId="795680D6">
            <w:pPr>
              <w:jc w:val="center"/>
              <w:rPr>
                <w:b/>
                <w:bCs/>
                <w:sz w:val="32"/>
                <w:szCs w:val="28"/>
              </w:rPr>
            </w:pPr>
            <w:r>
              <w:rPr>
                <w:b/>
                <w:bCs/>
                <w:sz w:val="22"/>
                <w:szCs w:val="28"/>
              </w:rPr>
              <w:t>技术方案</w:t>
            </w:r>
            <w:r>
              <w:rPr>
                <w:b/>
                <w:bCs/>
                <w:sz w:val="22"/>
                <w:szCs w:val="28"/>
              </w:rPr>
              <w:br w:type="textWrapping"/>
            </w:r>
            <w:r>
              <w:rPr>
                <w:b/>
                <w:bCs/>
                <w:sz w:val="22"/>
                <w:szCs w:val="28"/>
              </w:rPr>
              <w:t>（20分）</w:t>
            </w:r>
          </w:p>
        </w:tc>
        <w:tc>
          <w:tcPr>
            <w:tcW w:w="5669" w:type="dxa"/>
          </w:tcPr>
          <w:p w14:paraId="06998A28">
            <w:pPr>
              <w:rPr>
                <w:lang w:eastAsia="zh-CN"/>
              </w:rPr>
            </w:pPr>
            <w:r>
              <w:rPr>
                <w:sz w:val="20"/>
                <w:lang w:eastAsia="zh-CN"/>
              </w:rPr>
              <w:t>1、服务方案完整性（0-8分）：包括服务内容、服务流程、人员配置、设备配置、质量控制等方面，方案完整、科学合理得6-8分，方案较完整得3-5分，方案不完整得0-2分；</w:t>
            </w:r>
            <w:r>
              <w:rPr>
                <w:sz w:val="20"/>
                <w:lang w:eastAsia="zh-CN"/>
              </w:rPr>
              <w:br w:type="textWrapping"/>
            </w:r>
            <w:r>
              <w:rPr>
                <w:sz w:val="20"/>
                <w:lang w:eastAsia="zh-CN"/>
              </w:rPr>
              <w:t>2、技术先进性（0-6分）：采用的设备、技术、管理方法等具有先进性，得4-6分；一般得2-3分；较差得0-1分；</w:t>
            </w:r>
            <w:r>
              <w:rPr>
                <w:sz w:val="20"/>
                <w:lang w:eastAsia="zh-CN"/>
              </w:rPr>
              <w:br w:type="textWrapping"/>
            </w:r>
            <w:r>
              <w:rPr>
                <w:sz w:val="20"/>
                <w:lang w:eastAsia="zh-CN"/>
              </w:rPr>
              <w:t>3、创新性（0-6分）：方案具有创新亮点，能体现差异化服务优势，得4-6分；有一定创新得2-3分；无创新得0-1分。</w:t>
            </w:r>
          </w:p>
        </w:tc>
        <w:tc>
          <w:tcPr>
            <w:tcW w:w="849" w:type="dxa"/>
            <w:vAlign w:val="center"/>
          </w:tcPr>
          <w:p w14:paraId="4B55D01C">
            <w:pPr>
              <w:jc w:val="center"/>
              <w:rPr>
                <w:b/>
                <w:bCs/>
              </w:rPr>
            </w:pPr>
            <w:r>
              <w:rPr>
                <w:b/>
                <w:bCs/>
                <w:sz w:val="20"/>
              </w:rPr>
              <w:t>20</w:t>
            </w:r>
          </w:p>
        </w:tc>
      </w:tr>
      <w:tr w14:paraId="00495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vAlign w:val="center"/>
          </w:tcPr>
          <w:p w14:paraId="2AEDFA22">
            <w:pPr>
              <w:jc w:val="center"/>
              <w:rPr>
                <w:sz w:val="32"/>
                <w:szCs w:val="28"/>
              </w:rPr>
            </w:pPr>
            <w:r>
              <w:rPr>
                <w:sz w:val="22"/>
                <w:szCs w:val="28"/>
              </w:rPr>
              <w:t>4</w:t>
            </w:r>
          </w:p>
        </w:tc>
        <w:tc>
          <w:tcPr>
            <w:tcW w:w="1702" w:type="dxa"/>
            <w:vAlign w:val="center"/>
          </w:tcPr>
          <w:p w14:paraId="06A1A519">
            <w:pPr>
              <w:jc w:val="center"/>
              <w:rPr>
                <w:b/>
                <w:bCs/>
                <w:sz w:val="32"/>
                <w:szCs w:val="28"/>
              </w:rPr>
            </w:pPr>
            <w:r>
              <w:rPr>
                <w:b/>
                <w:bCs/>
                <w:sz w:val="22"/>
                <w:szCs w:val="28"/>
              </w:rPr>
              <w:t>人员配置</w:t>
            </w:r>
            <w:r>
              <w:rPr>
                <w:b/>
                <w:bCs/>
                <w:sz w:val="22"/>
                <w:szCs w:val="28"/>
              </w:rPr>
              <w:br w:type="textWrapping"/>
            </w:r>
            <w:r>
              <w:rPr>
                <w:b/>
                <w:bCs/>
                <w:sz w:val="22"/>
                <w:szCs w:val="28"/>
              </w:rPr>
              <w:t>（10分）</w:t>
            </w:r>
          </w:p>
        </w:tc>
        <w:tc>
          <w:tcPr>
            <w:tcW w:w="5669" w:type="dxa"/>
          </w:tcPr>
          <w:p w14:paraId="02477326">
            <w:pPr>
              <w:rPr>
                <w:lang w:eastAsia="zh-CN"/>
              </w:rPr>
            </w:pPr>
            <w:r>
              <w:rPr>
                <w:sz w:val="20"/>
                <w:lang w:eastAsia="zh-CN"/>
              </w:rPr>
              <w:t>1、拟派项目负责人具有中级及以上验光员职业资格证书，得3分；</w:t>
            </w:r>
            <w:r>
              <w:rPr>
                <w:sz w:val="20"/>
                <w:lang w:eastAsia="zh-CN"/>
              </w:rPr>
              <w:br w:type="textWrapping"/>
            </w:r>
            <w:r>
              <w:rPr>
                <w:sz w:val="20"/>
                <w:lang w:eastAsia="zh-CN"/>
              </w:rPr>
              <w:t>2、拟派团队中具有高级验光员职业资格证书人员，每名得2分，最高得4分；</w:t>
            </w:r>
            <w:r>
              <w:rPr>
                <w:sz w:val="20"/>
                <w:lang w:eastAsia="zh-CN"/>
              </w:rPr>
              <w:br w:type="textWrapping"/>
            </w:r>
            <w:r>
              <w:rPr>
                <w:sz w:val="20"/>
                <w:lang w:eastAsia="zh-CN"/>
              </w:rPr>
              <w:t>3、拟派团队中具有角膜接触镜验配资质人员，每名得1分，最高得3分。</w:t>
            </w:r>
            <w:r>
              <w:rPr>
                <w:sz w:val="20"/>
                <w:lang w:eastAsia="zh-CN"/>
              </w:rPr>
              <w:br w:type="textWrapping"/>
            </w:r>
            <w:r>
              <w:rPr>
                <w:sz w:val="20"/>
                <w:lang w:eastAsia="zh-CN"/>
              </w:rPr>
              <w:t>注：须提供证书复印件，未提供不得分。</w:t>
            </w:r>
          </w:p>
        </w:tc>
        <w:tc>
          <w:tcPr>
            <w:tcW w:w="849" w:type="dxa"/>
            <w:vAlign w:val="center"/>
          </w:tcPr>
          <w:p w14:paraId="0A191BBA">
            <w:pPr>
              <w:jc w:val="center"/>
              <w:rPr>
                <w:b/>
                <w:bCs/>
              </w:rPr>
            </w:pPr>
            <w:r>
              <w:rPr>
                <w:b/>
                <w:bCs/>
                <w:sz w:val="20"/>
              </w:rPr>
              <w:t>10</w:t>
            </w:r>
          </w:p>
        </w:tc>
      </w:tr>
      <w:tr w14:paraId="75D67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vAlign w:val="center"/>
          </w:tcPr>
          <w:p w14:paraId="18382691">
            <w:pPr>
              <w:jc w:val="center"/>
              <w:rPr>
                <w:sz w:val="32"/>
                <w:szCs w:val="28"/>
              </w:rPr>
            </w:pPr>
            <w:r>
              <w:rPr>
                <w:sz w:val="22"/>
                <w:szCs w:val="28"/>
              </w:rPr>
              <w:t>5</w:t>
            </w:r>
          </w:p>
        </w:tc>
        <w:tc>
          <w:tcPr>
            <w:tcW w:w="1702" w:type="dxa"/>
            <w:vAlign w:val="center"/>
          </w:tcPr>
          <w:p w14:paraId="3D2C3883">
            <w:pPr>
              <w:jc w:val="center"/>
              <w:rPr>
                <w:b/>
                <w:bCs/>
                <w:sz w:val="32"/>
                <w:szCs w:val="28"/>
              </w:rPr>
            </w:pPr>
            <w:r>
              <w:rPr>
                <w:b/>
                <w:bCs/>
                <w:sz w:val="22"/>
                <w:szCs w:val="28"/>
              </w:rPr>
              <w:t>服务承诺</w:t>
            </w:r>
            <w:r>
              <w:rPr>
                <w:b/>
                <w:bCs/>
                <w:sz w:val="22"/>
                <w:szCs w:val="28"/>
              </w:rPr>
              <w:br w:type="textWrapping"/>
            </w:r>
            <w:r>
              <w:rPr>
                <w:b/>
                <w:bCs/>
                <w:sz w:val="22"/>
                <w:szCs w:val="28"/>
              </w:rPr>
              <w:t>（8分）</w:t>
            </w:r>
          </w:p>
        </w:tc>
        <w:tc>
          <w:tcPr>
            <w:tcW w:w="5669" w:type="dxa"/>
          </w:tcPr>
          <w:p w14:paraId="6480BE81">
            <w:pPr>
              <w:rPr>
                <w:lang w:eastAsia="zh-CN"/>
              </w:rPr>
            </w:pPr>
            <w:r>
              <w:rPr>
                <w:sz w:val="20"/>
                <w:lang w:eastAsia="zh-CN"/>
              </w:rPr>
              <w:t>1、承诺验光准确率达98%以上，得2分；</w:t>
            </w:r>
            <w:r>
              <w:rPr>
                <w:sz w:val="20"/>
                <w:lang w:eastAsia="zh-CN"/>
              </w:rPr>
              <w:br w:type="textWrapping"/>
            </w:r>
            <w:r>
              <w:rPr>
                <w:sz w:val="20"/>
                <w:lang w:eastAsia="zh-CN"/>
              </w:rPr>
              <w:t>2、承诺配镜合格率达99%以上，得2分；</w:t>
            </w:r>
            <w:r>
              <w:rPr>
                <w:sz w:val="20"/>
                <w:lang w:eastAsia="zh-CN"/>
              </w:rPr>
              <w:br w:type="textWrapping"/>
            </w:r>
            <w:r>
              <w:rPr>
                <w:sz w:val="20"/>
                <w:lang w:eastAsia="zh-CN"/>
              </w:rPr>
              <w:t>3、承诺患者满意度达90%以上，得2分；</w:t>
            </w:r>
            <w:r>
              <w:rPr>
                <w:sz w:val="20"/>
                <w:lang w:eastAsia="zh-CN"/>
              </w:rPr>
              <w:br w:type="textWrapping"/>
            </w:r>
            <w:r>
              <w:rPr>
                <w:sz w:val="20"/>
                <w:lang w:eastAsia="zh-CN"/>
              </w:rPr>
              <w:t>4、承诺投诉处理及时率达100%，得2分。</w:t>
            </w:r>
            <w:r>
              <w:rPr>
                <w:sz w:val="20"/>
                <w:lang w:eastAsia="zh-CN"/>
              </w:rPr>
              <w:br w:type="textWrapping"/>
            </w:r>
            <w:r>
              <w:rPr>
                <w:sz w:val="20"/>
                <w:lang w:eastAsia="zh-CN"/>
              </w:rPr>
              <w:t>注：须在投标文件中明确承诺，未承诺不得分。</w:t>
            </w:r>
          </w:p>
        </w:tc>
        <w:tc>
          <w:tcPr>
            <w:tcW w:w="849" w:type="dxa"/>
            <w:vAlign w:val="center"/>
          </w:tcPr>
          <w:p w14:paraId="3A1940C4">
            <w:pPr>
              <w:jc w:val="center"/>
              <w:rPr>
                <w:b/>
                <w:bCs/>
              </w:rPr>
            </w:pPr>
            <w:r>
              <w:rPr>
                <w:b/>
                <w:bCs/>
                <w:sz w:val="20"/>
              </w:rPr>
              <w:t>8</w:t>
            </w:r>
          </w:p>
        </w:tc>
      </w:tr>
      <w:tr w14:paraId="0CAC4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vAlign w:val="center"/>
          </w:tcPr>
          <w:p w14:paraId="401C6A99">
            <w:pPr>
              <w:jc w:val="center"/>
              <w:rPr>
                <w:sz w:val="32"/>
                <w:szCs w:val="28"/>
              </w:rPr>
            </w:pPr>
            <w:r>
              <w:rPr>
                <w:sz w:val="22"/>
                <w:szCs w:val="28"/>
              </w:rPr>
              <w:t>6</w:t>
            </w:r>
          </w:p>
        </w:tc>
        <w:tc>
          <w:tcPr>
            <w:tcW w:w="1702" w:type="dxa"/>
            <w:vAlign w:val="center"/>
          </w:tcPr>
          <w:p w14:paraId="1D3253C3">
            <w:pPr>
              <w:jc w:val="center"/>
              <w:rPr>
                <w:b/>
                <w:bCs/>
                <w:sz w:val="32"/>
                <w:szCs w:val="28"/>
              </w:rPr>
            </w:pPr>
            <w:r>
              <w:rPr>
                <w:b/>
                <w:bCs/>
                <w:sz w:val="22"/>
                <w:szCs w:val="28"/>
              </w:rPr>
              <w:t>培训与支持</w:t>
            </w:r>
            <w:r>
              <w:rPr>
                <w:b/>
                <w:bCs/>
                <w:sz w:val="22"/>
                <w:szCs w:val="28"/>
              </w:rPr>
              <w:br w:type="textWrapping"/>
            </w:r>
            <w:r>
              <w:rPr>
                <w:b/>
                <w:bCs/>
                <w:sz w:val="22"/>
                <w:szCs w:val="28"/>
              </w:rPr>
              <w:t>（7分）</w:t>
            </w:r>
          </w:p>
        </w:tc>
        <w:tc>
          <w:tcPr>
            <w:tcW w:w="5669" w:type="dxa"/>
          </w:tcPr>
          <w:p w14:paraId="2EC43410">
            <w:pPr>
              <w:rPr>
                <w:lang w:eastAsia="zh-CN"/>
              </w:rPr>
            </w:pPr>
            <w:r>
              <w:rPr>
                <w:sz w:val="20"/>
                <w:lang w:eastAsia="zh-CN"/>
              </w:rPr>
              <w:t>1、提供完善的员工培训计划，得3分；</w:t>
            </w:r>
            <w:r>
              <w:rPr>
                <w:sz w:val="20"/>
                <w:lang w:eastAsia="zh-CN"/>
              </w:rPr>
              <w:br w:type="textWrapping"/>
            </w:r>
            <w:r>
              <w:rPr>
                <w:sz w:val="20"/>
                <w:lang w:eastAsia="zh-CN"/>
              </w:rPr>
              <w:t>2、提供持续的技术支持方案，得2分；</w:t>
            </w:r>
            <w:r>
              <w:rPr>
                <w:sz w:val="20"/>
                <w:lang w:eastAsia="zh-CN"/>
              </w:rPr>
              <w:br w:type="textWrapping"/>
            </w:r>
            <w:r>
              <w:rPr>
                <w:sz w:val="20"/>
                <w:lang w:eastAsia="zh-CN"/>
              </w:rPr>
              <w:t>3、提供市场推广支持方案，得2分。</w:t>
            </w:r>
          </w:p>
        </w:tc>
        <w:tc>
          <w:tcPr>
            <w:tcW w:w="849" w:type="dxa"/>
            <w:vAlign w:val="center"/>
          </w:tcPr>
          <w:p w14:paraId="380E0395">
            <w:pPr>
              <w:jc w:val="center"/>
              <w:rPr>
                <w:b/>
                <w:bCs/>
              </w:rPr>
            </w:pPr>
            <w:r>
              <w:rPr>
                <w:b/>
                <w:bCs/>
                <w:sz w:val="20"/>
              </w:rPr>
              <w:t>7</w:t>
            </w:r>
          </w:p>
        </w:tc>
      </w:tr>
    </w:tbl>
    <w:p w14:paraId="4820CCCA"/>
    <w:p w14:paraId="2D5D4F14">
      <w:pPr>
        <w:ind w:firstLine="480"/>
        <w:rPr>
          <w:lang w:eastAsia="zh-CN"/>
        </w:rPr>
      </w:pPr>
      <w:r>
        <w:rPr>
          <w:lang w:eastAsia="zh-CN"/>
        </w:rPr>
        <w:t>注：供应商须提供证书复印件并加盖供应商公章，证书未提供的不得分。</w:t>
      </w:r>
    </w:p>
    <w:sectPr>
      <w:footerReference r:id="rId6" w:type="first"/>
      <w:footerReference r:id="rId5" w:type="even"/>
      <w:pgSz w:w="11906" w:h="16838"/>
      <w:pgMar w:top="1440" w:right="1803" w:bottom="1440" w:left="1803" w:header="0" w:footer="400" w:gutter="0"/>
      <w:cols w:space="720" w:num="1"/>
      <w:formProt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ourier">
    <w:altName w:val="Courier New"/>
    <w:panose1 w:val="02070309020205020404"/>
    <w:charset w:val="01"/>
    <w:family w:val="roman"/>
    <w:pitch w:val="default"/>
    <w:sig w:usb0="00000000" w:usb1="00000000" w:usb2="00000000" w:usb3="00000000" w:csb0="00000000" w:csb1="00000000"/>
  </w:font>
  <w:font w:name="Courier New">
    <w:panose1 w:val="02070309020205020404"/>
    <w:charset w:val="00"/>
    <w:family w:val="modern"/>
    <w:pitch w:val="default"/>
    <w:sig w:usb0="E0002EFF" w:usb1="C0007843" w:usb2="00000009" w:usb3="00000000" w:csb0="400001FF" w:csb1="FFFF0000"/>
  </w:font>
  <w:font w:name="Noto Sans">
    <w:altName w:val="Noto Sans SC"/>
    <w:panose1 w:val="020B0502040504020204"/>
    <w:charset w:val="00"/>
    <w:family w:val="swiss"/>
    <w:pitch w:val="default"/>
    <w:sig w:usb0="00000000" w:usb1="00000000" w:usb2="00000021" w:usb3="00000000" w:csb0="0000019F" w:csb1="00000000"/>
  </w:font>
  <w:font w:name="Liberation Sans">
    <w:altName w:val="微软雅黑"/>
    <w:panose1 w:val="020B0604020202020204"/>
    <w:charset w:val="01"/>
    <w:family w:val="swiss"/>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Source Han Sans SC">
    <w:altName w:val="Segoe Print"/>
    <w:panose1 w:val="020B0604020202020204"/>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D3CBB">
    <w:pPr>
      <w:pStyle w:val="2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966CD">
    <w:pPr>
      <w:pStyle w:val="26"/>
      <w:jc w:val="center"/>
    </w:pPr>
    <w:r>
      <w:t xml:space="preserve">第 </w:t>
    </w:r>
    <w:r>
      <w:fldChar w:fldCharType="begin"/>
    </w:r>
    <w:r>
      <w:instrText xml:space="preserve"> PAGE </w:instrText>
    </w:r>
    <w:r>
      <w:fldChar w:fldCharType="separate"/>
    </w:r>
    <w:r>
      <w:t>10</w:t>
    </w:r>
    <w:r>
      <w:fldChar w:fldCharType="end"/>
    </w:r>
    <w: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
      <w:numFmt w:val="decimal"/>
      <w:pStyle w:val="14"/>
      <w:lvlText w:val="%1."/>
      <w:lvlJc w:val="left"/>
      <w:pPr>
        <w:tabs>
          <w:tab w:val="left" w:pos="720"/>
        </w:tabs>
        <w:ind w:left="72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1">
    <w:nsid w:val="BF205925"/>
    <w:multiLevelType w:val="multilevel"/>
    <w:tmpl w:val="BF205925"/>
    <w:lvl w:ilvl="0" w:tentative="0">
      <w:start w:val="1"/>
      <w:numFmt w:val="decimal"/>
      <w:pStyle w:val="15"/>
      <w:lvlText w:val="%1."/>
      <w:lvlJc w:val="left"/>
      <w:pPr>
        <w:tabs>
          <w:tab w:val="left" w:pos="360"/>
        </w:tabs>
        <w:ind w:left="36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2">
    <w:nsid w:val="CF092B84"/>
    <w:multiLevelType w:val="multilevel"/>
    <w:tmpl w:val="CF092B84"/>
    <w:lvl w:ilvl="0" w:tentative="0">
      <w:start w:val="1"/>
      <w:numFmt w:val="bullet"/>
      <w:pStyle w:val="23"/>
      <w:lvlText w:val=""/>
      <w:lvlJc w:val="left"/>
      <w:pPr>
        <w:tabs>
          <w:tab w:val="left" w:pos="720"/>
        </w:tabs>
        <w:ind w:left="720" w:hanging="360"/>
      </w:pPr>
      <w:rPr>
        <w:rFonts w:hint="default" w:ascii="Symbol" w:hAnsi="Symbol" w:cs="Symbol"/>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3">
    <w:nsid w:val="0053208E"/>
    <w:multiLevelType w:val="multilevel"/>
    <w:tmpl w:val="0053208E"/>
    <w:lvl w:ilvl="0" w:tentative="0">
      <w:start w:val="1"/>
      <w:numFmt w:val="bullet"/>
      <w:pStyle w:val="17"/>
      <w:lvlText w:val=""/>
      <w:lvlJc w:val="left"/>
      <w:pPr>
        <w:tabs>
          <w:tab w:val="left" w:pos="360"/>
        </w:tabs>
        <w:ind w:left="360" w:hanging="360"/>
      </w:pPr>
      <w:rPr>
        <w:rFonts w:hint="default" w:ascii="Symbol" w:hAnsi="Symbol" w:cs="Symbol"/>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4">
    <w:nsid w:val="03D62ECE"/>
    <w:multiLevelType w:val="multilevel"/>
    <w:tmpl w:val="03D62ECE"/>
    <w:lvl w:ilvl="0" w:tentative="0">
      <w:start w:val="1"/>
      <w:numFmt w:val="decimal"/>
      <w:pStyle w:val="20"/>
      <w:lvlText w:val="%1."/>
      <w:lvlJc w:val="left"/>
      <w:pPr>
        <w:tabs>
          <w:tab w:val="left" w:pos="1080"/>
        </w:tabs>
        <w:ind w:left="108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5">
    <w:nsid w:val="59ADCABA"/>
    <w:multiLevelType w:val="multilevel"/>
    <w:tmpl w:val="59ADCABA"/>
    <w:lvl w:ilvl="0" w:tentative="0">
      <w:start w:val="1"/>
      <w:numFmt w:val="bullet"/>
      <w:pStyle w:val="19"/>
      <w:lvlText w:val=""/>
      <w:lvlJc w:val="left"/>
      <w:pPr>
        <w:tabs>
          <w:tab w:val="left" w:pos="1080"/>
        </w:tabs>
        <w:ind w:left="1080" w:hanging="360"/>
      </w:pPr>
      <w:rPr>
        <w:rFonts w:hint="default" w:ascii="Symbol" w:hAnsi="Symbol" w:cs="Symbol"/>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num w:numId="1">
    <w:abstractNumId w:val="0"/>
  </w:num>
  <w:num w:numId="2">
    <w:abstractNumId w:val="1"/>
  </w:num>
  <w:num w:numId="3">
    <w:abstractNumId w:val="3"/>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autoHyphenation/>
  <w:hyphenationZone w:val="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BE3"/>
    <w:rsid w:val="0026249C"/>
    <w:rsid w:val="0094496E"/>
    <w:rsid w:val="00A7633D"/>
    <w:rsid w:val="00A8485C"/>
    <w:rsid w:val="00AD2BE3"/>
    <w:rsid w:val="00DC125A"/>
    <w:rsid w:val="00FE6869"/>
    <w:rsid w:val="139B0F39"/>
    <w:rsid w:val="1BFB31F6"/>
    <w:rsid w:val="1D540151"/>
    <w:rsid w:val="1D632E00"/>
    <w:rsid w:val="3CAD59EE"/>
    <w:rsid w:val="4D455D2A"/>
    <w:rsid w:val="4FE92D8A"/>
    <w:rsid w:val="51B2240A"/>
    <w:rsid w:val="536964E1"/>
    <w:rsid w:val="737C78ED"/>
    <w:rsid w:val="76C52FD6"/>
    <w:rsid w:val="7F9E76DF"/>
  </w:rsids>
  <m:mathPr>
    <m:mathFont m:val="Cambria Math"/>
    <m:brkBin m:val="before"/>
    <m:brkBinSub m:val="--"/>
    <m:smallFrac m:val="0"/>
    <m:dispDef/>
    <m:lMargin m:val="0"/>
    <m:rMargin m:val="0"/>
    <m:defJc m:val="centerGroup"/>
    <m:wrapIndent m:val="1440"/>
    <m:intLim m:val="subSup"/>
    <m:naryLim m:val="undOvr"/>
  </m:mathPr>
  <w:themeFontLang w:val="en-US" w:eastAsia="ja-JP" w:bidi="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next w:val="2"/>
    <w:qFormat/>
    <w:uiPriority w:val="0"/>
    <w:pPr>
      <w:suppressAutoHyphens/>
      <w:spacing w:after="120" w:line="276" w:lineRule="auto"/>
    </w:pPr>
    <w:rPr>
      <w:rFonts w:ascii="宋体" w:hAnsi="宋体" w:eastAsia="宋体" w:cs="宋体"/>
      <w:color w:val="000000"/>
      <w:sz w:val="24"/>
      <w:szCs w:val="22"/>
      <w:lang w:val="en-US" w:eastAsia="en-US" w:bidi="ar-SA"/>
    </w:rPr>
  </w:style>
  <w:style w:type="paragraph" w:styleId="4">
    <w:name w:val="heading 1"/>
    <w:basedOn w:val="1"/>
    <w:next w:val="1"/>
    <w:link w:val="145"/>
    <w:qFormat/>
    <w:uiPriority w:val="9"/>
    <w:pPr>
      <w:keepNext/>
      <w:keepLines/>
      <w:spacing w:before="240" w:after="240"/>
      <w:outlineLvl w:val="0"/>
    </w:pPr>
    <w:rPr>
      <w:rFonts w:hAnsi="Calibri" w:eastAsia="黑体" w:cs="黑体" w:asciiTheme="majorHAnsi"/>
      <w:b/>
      <w:bCs/>
      <w:sz w:val="32"/>
      <w:szCs w:val="28"/>
    </w:rPr>
  </w:style>
  <w:style w:type="paragraph" w:styleId="5">
    <w:name w:val="heading 2"/>
    <w:basedOn w:val="1"/>
    <w:next w:val="1"/>
    <w:link w:val="146"/>
    <w:unhideWhenUsed/>
    <w:qFormat/>
    <w:uiPriority w:val="9"/>
    <w:pPr>
      <w:keepNext/>
      <w:keepLines/>
      <w:spacing w:before="180" w:after="180"/>
      <w:outlineLvl w:val="1"/>
    </w:pPr>
    <w:rPr>
      <w:rFonts w:hAnsi="Calibri" w:eastAsia="黑体" w:cs="黑体" w:asciiTheme="majorHAnsi"/>
      <w:b/>
      <w:bCs/>
      <w:sz w:val="28"/>
      <w:szCs w:val="26"/>
    </w:rPr>
  </w:style>
  <w:style w:type="paragraph" w:styleId="6">
    <w:name w:val="heading 3"/>
    <w:basedOn w:val="1"/>
    <w:next w:val="1"/>
    <w:link w:val="147"/>
    <w:unhideWhenUsed/>
    <w:qFormat/>
    <w:uiPriority w:val="9"/>
    <w:pPr>
      <w:keepNext/>
      <w:keepLines/>
      <w:spacing w:before="180"/>
      <w:outlineLvl w:val="2"/>
    </w:pPr>
    <w:rPr>
      <w:rFonts w:hAnsi="Calibri" w:eastAsia="黑体" w:cs="黑体" w:asciiTheme="majorHAnsi"/>
      <w:b/>
      <w:bCs/>
      <w:sz w:val="26"/>
    </w:rPr>
  </w:style>
  <w:style w:type="paragraph" w:styleId="7">
    <w:name w:val="heading 4"/>
    <w:basedOn w:val="1"/>
    <w:next w:val="1"/>
    <w:link w:val="156"/>
    <w:semiHidden/>
    <w:unhideWhenUsed/>
    <w:qFormat/>
    <w:uiPriority w:val="9"/>
    <w:pPr>
      <w:keepNext/>
      <w:keepLines/>
      <w:spacing w:before="120"/>
      <w:outlineLvl w:val="3"/>
    </w:pPr>
    <w:rPr>
      <w:rFonts w:hAnsi="Calibri" w:eastAsia="黑体" w:cs="黑体" w:asciiTheme="majorHAnsi"/>
      <w:b/>
      <w:bCs/>
      <w:i/>
      <w:iCs/>
    </w:rPr>
  </w:style>
  <w:style w:type="paragraph" w:styleId="8">
    <w:name w:val="heading 5"/>
    <w:basedOn w:val="1"/>
    <w:next w:val="1"/>
    <w:link w:val="157"/>
    <w:semiHidden/>
    <w:unhideWhenUsed/>
    <w:qFormat/>
    <w:uiPriority w:val="9"/>
    <w:pPr>
      <w:keepNext/>
      <w:keepLines/>
      <w:spacing w:before="120" w:after="60"/>
      <w:outlineLvl w:val="4"/>
    </w:pPr>
    <w:rPr>
      <w:rFonts w:hAnsi="Calibri" w:eastAsia="黑体" w:cs="黑体" w:asciiTheme="majorHAnsi"/>
      <w:b/>
      <w:sz w:val="22"/>
    </w:rPr>
  </w:style>
  <w:style w:type="paragraph" w:styleId="9">
    <w:name w:val="heading 6"/>
    <w:basedOn w:val="1"/>
    <w:next w:val="1"/>
    <w:link w:val="158"/>
    <w:semiHidden/>
    <w:unhideWhenUsed/>
    <w:qFormat/>
    <w:uiPriority w:val="9"/>
    <w:pPr>
      <w:keepNext/>
      <w:keepLines/>
      <w:spacing w:before="120" w:after="60"/>
      <w:outlineLvl w:val="5"/>
    </w:pPr>
    <w:rPr>
      <w:rFonts w:hAnsi="Calibri" w:eastAsia="黑体" w:cs="黑体" w:asciiTheme="majorHAnsi"/>
      <w:b/>
      <w:i/>
      <w:iCs/>
      <w:sz w:val="20"/>
    </w:rPr>
  </w:style>
  <w:style w:type="paragraph" w:styleId="10">
    <w:name w:val="heading 7"/>
    <w:basedOn w:val="1"/>
    <w:next w:val="1"/>
    <w:link w:val="159"/>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1">
    <w:name w:val="heading 8"/>
    <w:basedOn w:val="1"/>
    <w:next w:val="1"/>
    <w:link w:val="160"/>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2">
    <w:name w:val="heading 9"/>
    <w:basedOn w:val="1"/>
    <w:next w:val="1"/>
    <w:link w:val="161"/>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9">
    <w:name w:val="Default Paragraph Font"/>
    <w:semiHidden/>
    <w:unhideWhenUsed/>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50"/>
    <w:unhideWhenUsed/>
    <w:qFormat/>
    <w:uiPriority w:val="99"/>
  </w:style>
  <w:style w:type="paragraph" w:styleId="3">
    <w:name w:val="macro"/>
    <w:link w:val="153"/>
    <w:unhideWhenUsed/>
    <w:qFormat/>
    <w:uiPriority w:val="99"/>
    <w:pPr>
      <w:tabs>
        <w:tab w:val="left" w:pos="576"/>
        <w:tab w:val="left" w:pos="1152"/>
        <w:tab w:val="left" w:pos="1728"/>
        <w:tab w:val="left" w:pos="2304"/>
        <w:tab w:val="left" w:pos="2880"/>
        <w:tab w:val="left" w:pos="3456"/>
        <w:tab w:val="left" w:pos="4032"/>
      </w:tabs>
      <w:suppressAutoHyphens/>
      <w:spacing w:after="200" w:line="276" w:lineRule="auto"/>
    </w:pPr>
    <w:rPr>
      <w:rFonts w:ascii="Courier" w:hAnsi="Courier" w:eastAsia="宋体" w:cstheme="minorBidi"/>
      <w:lang w:val="en-US" w:eastAsia="en-US" w:bidi="ar-SA"/>
    </w:rPr>
  </w:style>
  <w:style w:type="paragraph" w:styleId="13">
    <w:name w:val="List 3"/>
    <w:basedOn w:val="1"/>
    <w:unhideWhenUsed/>
    <w:qFormat/>
    <w:uiPriority w:val="99"/>
    <w:pPr>
      <w:ind w:left="1080" w:hanging="360"/>
      <w:contextualSpacing/>
    </w:pPr>
  </w:style>
  <w:style w:type="paragraph" w:styleId="14">
    <w:name w:val="List Number 2"/>
    <w:basedOn w:val="1"/>
    <w:unhideWhenUsed/>
    <w:qFormat/>
    <w:uiPriority w:val="99"/>
    <w:pPr>
      <w:numPr>
        <w:ilvl w:val="0"/>
        <w:numId w:val="1"/>
      </w:numPr>
      <w:contextualSpacing/>
    </w:pPr>
  </w:style>
  <w:style w:type="paragraph" w:styleId="15">
    <w:name w:val="List Number"/>
    <w:basedOn w:val="1"/>
    <w:unhideWhenUsed/>
    <w:qFormat/>
    <w:uiPriority w:val="99"/>
    <w:pPr>
      <w:numPr>
        <w:ilvl w:val="0"/>
        <w:numId w:val="2"/>
      </w:numPr>
      <w:contextualSpacing/>
    </w:p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7">
    <w:name w:val="List Bullet"/>
    <w:basedOn w:val="1"/>
    <w:unhideWhenUsed/>
    <w:qFormat/>
    <w:uiPriority w:val="99"/>
    <w:pPr>
      <w:numPr>
        <w:ilvl w:val="0"/>
        <w:numId w:val="3"/>
      </w:numPr>
      <w:contextualSpacing/>
    </w:pPr>
  </w:style>
  <w:style w:type="paragraph" w:styleId="18">
    <w:name w:val="Body Text 3"/>
    <w:basedOn w:val="1"/>
    <w:link w:val="152"/>
    <w:unhideWhenUsed/>
    <w:qFormat/>
    <w:uiPriority w:val="99"/>
    <w:rPr>
      <w:sz w:val="16"/>
      <w:szCs w:val="16"/>
    </w:rPr>
  </w:style>
  <w:style w:type="paragraph" w:styleId="19">
    <w:name w:val="List Bullet 3"/>
    <w:basedOn w:val="1"/>
    <w:unhideWhenUsed/>
    <w:qFormat/>
    <w:uiPriority w:val="99"/>
    <w:pPr>
      <w:numPr>
        <w:ilvl w:val="0"/>
        <w:numId w:val="4"/>
      </w:numPr>
      <w:contextualSpacing/>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toc 3"/>
    <w:basedOn w:val="25"/>
    <w:qFormat/>
    <w:uiPriority w:val="0"/>
    <w:pPr>
      <w:tabs>
        <w:tab w:val="right" w:leader="dot" w:pos="7733"/>
      </w:tabs>
      <w:ind w:left="567"/>
    </w:pPr>
  </w:style>
  <w:style w:type="paragraph" w:customStyle="1" w:styleId="25">
    <w:name w:val="Index"/>
    <w:basedOn w:val="1"/>
    <w:qFormat/>
    <w:uiPriority w:val="0"/>
    <w:pPr>
      <w:suppressLineNumbers/>
    </w:pPr>
    <w:rPr>
      <w:rFonts w:cs="Noto Sans"/>
    </w:rPr>
  </w:style>
  <w:style w:type="paragraph" w:styleId="26">
    <w:name w:val="footer"/>
    <w:basedOn w:val="1"/>
    <w:link w:val="144"/>
    <w:unhideWhenUsed/>
    <w:qFormat/>
    <w:uiPriority w:val="99"/>
    <w:pPr>
      <w:tabs>
        <w:tab w:val="center" w:pos="4680"/>
        <w:tab w:val="right" w:pos="9360"/>
      </w:tabs>
      <w:spacing w:after="0" w:line="240" w:lineRule="auto"/>
    </w:pPr>
  </w:style>
  <w:style w:type="paragraph" w:styleId="27">
    <w:name w:val="header"/>
    <w:basedOn w:val="1"/>
    <w:link w:val="143"/>
    <w:unhideWhenUsed/>
    <w:qFormat/>
    <w:uiPriority w:val="99"/>
    <w:pPr>
      <w:tabs>
        <w:tab w:val="center" w:pos="4680"/>
        <w:tab w:val="right" w:pos="9360"/>
      </w:tabs>
      <w:spacing w:after="0" w:line="240" w:lineRule="auto"/>
    </w:pPr>
  </w:style>
  <w:style w:type="paragraph" w:styleId="28">
    <w:name w:val="toc 1"/>
    <w:basedOn w:val="25"/>
    <w:qFormat/>
    <w:uiPriority w:val="0"/>
    <w:pPr>
      <w:tabs>
        <w:tab w:val="right" w:leader="dot" w:pos="8300"/>
      </w:tabs>
    </w:pPr>
  </w:style>
  <w:style w:type="paragraph" w:styleId="29">
    <w:name w:val="index heading"/>
    <w:basedOn w:val="30"/>
    <w:qFormat/>
    <w:uiPriority w:val="0"/>
  </w:style>
  <w:style w:type="paragraph" w:customStyle="1" w:styleId="30">
    <w:name w:val="Heading"/>
    <w:basedOn w:val="1"/>
    <w:next w:val="2"/>
    <w:qFormat/>
    <w:uiPriority w:val="0"/>
    <w:pPr>
      <w:keepNext/>
      <w:spacing w:before="240"/>
    </w:pPr>
    <w:rPr>
      <w:rFonts w:ascii="Liberation Sans" w:hAnsi="Liberation Sans" w:eastAsia="Source Han Sans SC" w:cs="Noto Sans"/>
      <w:sz w:val="28"/>
      <w:szCs w:val="28"/>
    </w:rPr>
  </w:style>
  <w:style w:type="paragraph" w:styleId="31">
    <w:name w:val="Subtitle"/>
    <w:basedOn w:val="1"/>
    <w:next w:val="1"/>
    <w:link w:val="149"/>
    <w:qFormat/>
    <w:uiPriority w:val="11"/>
    <w:rPr>
      <w:rFonts w:asciiTheme="majorHAnsi" w:hAnsiTheme="majorHAnsi" w:eastAsiaTheme="majorEastAsia" w:cstheme="majorBidi"/>
      <w:i/>
      <w:iCs/>
      <w:color w:val="4F81BD" w:themeColor="accent1"/>
      <w:spacing w:val="15"/>
      <w:szCs w:val="24"/>
      <w14:textFill>
        <w14:solidFill>
          <w14:schemeClr w14:val="accent1"/>
        </w14:solidFill>
      </w14:textFill>
    </w:rPr>
  </w:style>
  <w:style w:type="paragraph" w:styleId="32">
    <w:name w:val="List"/>
    <w:basedOn w:val="1"/>
    <w:unhideWhenUsed/>
    <w:qFormat/>
    <w:uiPriority w:val="99"/>
    <w:pPr>
      <w:ind w:left="360" w:hanging="360"/>
      <w:contextualSpacing/>
    </w:pPr>
  </w:style>
  <w:style w:type="paragraph" w:styleId="33">
    <w:name w:val="toc 2"/>
    <w:basedOn w:val="25"/>
    <w:qFormat/>
    <w:uiPriority w:val="0"/>
    <w:pPr>
      <w:tabs>
        <w:tab w:val="right" w:leader="dot" w:pos="8017"/>
      </w:tabs>
      <w:ind w:left="283"/>
    </w:pPr>
  </w:style>
  <w:style w:type="paragraph" w:styleId="34">
    <w:name w:val="Body Text 2"/>
    <w:basedOn w:val="1"/>
    <w:link w:val="151"/>
    <w:unhideWhenUsed/>
    <w:qFormat/>
    <w:uiPriority w:val="99"/>
    <w:pPr>
      <w:spacing w:line="480" w:lineRule="auto"/>
    </w:pPr>
  </w:style>
  <w:style w:type="paragraph" w:styleId="35">
    <w:name w:val="List Continue 2"/>
    <w:basedOn w:val="1"/>
    <w:unhideWhenUsed/>
    <w:qFormat/>
    <w:uiPriority w:val="99"/>
    <w:pPr>
      <w:ind w:left="720"/>
      <w:contextualSpacing/>
    </w:pPr>
  </w:style>
  <w:style w:type="paragraph" w:styleId="36">
    <w:name w:val="Normal (Web)"/>
    <w:basedOn w:val="1"/>
    <w:qFormat/>
    <w:uiPriority w:val="0"/>
    <w:pPr>
      <w:spacing w:before="100" w:beforeAutospacing="1" w:after="100" w:afterAutospacing="1"/>
    </w:pPr>
  </w:style>
  <w:style w:type="paragraph" w:styleId="37">
    <w:name w:val="List Continue 3"/>
    <w:basedOn w:val="1"/>
    <w:unhideWhenUsed/>
    <w:qFormat/>
    <w:uiPriority w:val="99"/>
    <w:pPr>
      <w:ind w:left="1080"/>
      <w:contextualSpacing/>
    </w:pPr>
  </w:style>
  <w:style w:type="paragraph" w:styleId="38">
    <w:name w:val="Title"/>
    <w:basedOn w:val="1"/>
    <w:next w:val="1"/>
    <w:link w:val="148"/>
    <w:qFormat/>
    <w:uiPriority w:val="10"/>
    <w:pPr>
      <w:pBdr>
        <w:bottom w:val="single" w:color="4F81BD" w:themeColor="accent1" w:sz="8" w:space="4"/>
      </w:pBdr>
      <w:spacing w:before="240" w:line="240" w:lineRule="auto"/>
      <w:contextualSpacing/>
      <w:jc w:val="center"/>
    </w:pPr>
    <w:rPr>
      <w:rFonts w:hAnsi="Calibri" w:eastAsia="黑体" w:cs="黑体" w:asciiTheme="majorHAnsi"/>
      <w:b/>
      <w:spacing w:val="5"/>
      <w:kern w:val="2"/>
      <w:sz w:val="56"/>
      <w:szCs w:val="52"/>
    </w:rPr>
  </w:style>
  <w:style w:type="table" w:styleId="40">
    <w:name w:val="Table Grid"/>
    <w:basedOn w:val="3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41">
    <w:name w:val="Light Shading"/>
    <w:basedOn w:val="39"/>
    <w:qFormat/>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42">
    <w:name w:val="Light Shading Accent 1"/>
    <w:basedOn w:val="39"/>
    <w:qFormat/>
    <w:uiPriority w:val="60"/>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43">
    <w:name w:val="Light Shading Accent 2"/>
    <w:basedOn w:val="39"/>
    <w:qFormat/>
    <w:uiPriority w:val="60"/>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4">
    <w:name w:val="Light Shading Accent 3"/>
    <w:basedOn w:val="39"/>
    <w:qFormat/>
    <w:uiPriority w:val="60"/>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5">
    <w:name w:val="Light Shading Accent 4"/>
    <w:basedOn w:val="39"/>
    <w:qFormat/>
    <w:uiPriority w:val="60"/>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6">
    <w:name w:val="Light Shading Accent 5"/>
    <w:basedOn w:val="39"/>
    <w:qFormat/>
    <w:uiPriority w:val="60"/>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7">
    <w:name w:val="Light Shading Accent 6"/>
    <w:basedOn w:val="39"/>
    <w:qFormat/>
    <w:uiPriority w:val="60"/>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8">
    <w:name w:val="Light List"/>
    <w:basedOn w:val="39"/>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9">
    <w:name w:val="Light List Accent 1"/>
    <w:basedOn w:val="39"/>
    <w:qFormat/>
    <w:uiPriority w:val="61"/>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50">
    <w:name w:val="Light List Accent 2"/>
    <w:basedOn w:val="39"/>
    <w:qFormat/>
    <w:uiPriority w:val="61"/>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51">
    <w:name w:val="Light List Accent 3"/>
    <w:basedOn w:val="39"/>
    <w:qFormat/>
    <w:uiPriority w:val="61"/>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52">
    <w:name w:val="Light List Accent 4"/>
    <w:basedOn w:val="39"/>
    <w:qFormat/>
    <w:uiPriority w:val="61"/>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53">
    <w:name w:val="Light List Accent 5"/>
    <w:basedOn w:val="39"/>
    <w:qFormat/>
    <w:uiPriority w:val="61"/>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4">
    <w:name w:val="Light List Accent 6"/>
    <w:basedOn w:val="39"/>
    <w:qFormat/>
    <w:uiPriority w:val="61"/>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5">
    <w:name w:val="Light Grid"/>
    <w:basedOn w:val="39"/>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6">
    <w:name w:val="Light Grid Accent 1"/>
    <w:basedOn w:val="39"/>
    <w:qFormat/>
    <w:uiPriority w:val="62"/>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7">
    <w:name w:val="Light Grid Accent 2"/>
    <w:basedOn w:val="39"/>
    <w:qFormat/>
    <w:uiPriority w:val="62"/>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8">
    <w:name w:val="Light Grid Accent 3"/>
    <w:basedOn w:val="39"/>
    <w:qFormat/>
    <w:uiPriority w:val="62"/>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9">
    <w:name w:val="Light Grid Accent 4"/>
    <w:basedOn w:val="39"/>
    <w:qFormat/>
    <w:uiPriority w:val="62"/>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60">
    <w:name w:val="Light Grid Accent 5"/>
    <w:basedOn w:val="39"/>
    <w:qFormat/>
    <w:uiPriority w:val="62"/>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61">
    <w:name w:val="Light Grid Accent 6"/>
    <w:basedOn w:val="39"/>
    <w:qFormat/>
    <w:uiPriority w:val="62"/>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62">
    <w:name w:val="Medium Shading 1"/>
    <w:basedOn w:val="39"/>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000000" w:themeColor="text1" w:sz="8" w:space="0"/>
          <w:left w:val="single" w:color="000000" w:themeColor="text1" w:sz="8" w:space="0"/>
          <w:bottom w:val="single" w:color="000000" w:themeColor="text1" w:sz="8" w:space="0"/>
          <w:right w:val="single" w:color="00000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63">
    <w:name w:val="Medium Shading 1 Accent 1"/>
    <w:basedOn w:val="39"/>
    <w:qFormat/>
    <w:uiPriority w:val="63"/>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4">
    <w:name w:val="Medium Shading 1 Accent 2"/>
    <w:basedOn w:val="39"/>
    <w:qFormat/>
    <w:uiPriority w:val="63"/>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5">
    <w:name w:val="Medium Shading 1 Accent 3"/>
    <w:basedOn w:val="39"/>
    <w:qFormat/>
    <w:uiPriority w:val="63"/>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6">
    <w:name w:val="Medium Shading 1 Accent 4"/>
    <w:basedOn w:val="39"/>
    <w:qFormat/>
    <w:uiPriority w:val="63"/>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7">
    <w:name w:val="Medium Shading 1 Accent 5"/>
    <w:basedOn w:val="39"/>
    <w:qFormat/>
    <w:uiPriority w:val="63"/>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8">
    <w:name w:val="Medium Shading 1 Accent 6"/>
    <w:basedOn w:val="39"/>
    <w:qFormat/>
    <w:uiPriority w:val="63"/>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9">
    <w:name w:val="Medium Shading 2"/>
    <w:basedOn w:val="39"/>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1"/>
    <w:basedOn w:val="39"/>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2"/>
    <w:basedOn w:val="39"/>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Shading 2 Accent 3"/>
    <w:basedOn w:val="39"/>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3">
    <w:name w:val="Medium Shading 2 Accent 4"/>
    <w:basedOn w:val="39"/>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4">
    <w:name w:val="Medium Shading 2 Accent 5"/>
    <w:basedOn w:val="39"/>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5">
    <w:name w:val="Medium Shading 2 Accent 6"/>
    <w:basedOn w:val="39"/>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6">
    <w:name w:val="Medium List 1"/>
    <w:basedOn w:val="39"/>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7">
    <w:name w:val="Medium List 1 Accent 1"/>
    <w:basedOn w:val="39"/>
    <w:qFormat/>
    <w:uiPriority w:val="65"/>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8">
    <w:name w:val="Medium List 1 Accent 2"/>
    <w:basedOn w:val="39"/>
    <w:qFormat/>
    <w:uiPriority w:val="65"/>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9">
    <w:name w:val="Medium List 1 Accent 3"/>
    <w:basedOn w:val="39"/>
    <w:qFormat/>
    <w:uiPriority w:val="65"/>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80">
    <w:name w:val="Medium List 1 Accent 4"/>
    <w:basedOn w:val="39"/>
    <w:qFormat/>
    <w:uiPriority w:val="65"/>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81">
    <w:name w:val="Medium List 1 Accent 5"/>
    <w:basedOn w:val="39"/>
    <w:qFormat/>
    <w:uiPriority w:val="65"/>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82">
    <w:name w:val="Medium List 1 Accent 6"/>
    <w:basedOn w:val="39"/>
    <w:qFormat/>
    <w:uiPriority w:val="65"/>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83">
    <w:name w:val="Medium List 2"/>
    <w:basedOn w:val="39"/>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1"/>
    <w:basedOn w:val="39"/>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2"/>
    <w:basedOn w:val="39"/>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List 2 Accent 3"/>
    <w:basedOn w:val="39"/>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7">
    <w:name w:val="Medium List 2 Accent 4"/>
    <w:basedOn w:val="39"/>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8">
    <w:name w:val="Medium List 2 Accent 5"/>
    <w:basedOn w:val="39"/>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9">
    <w:name w:val="Medium List 2 Accent 6"/>
    <w:basedOn w:val="39"/>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90">
    <w:name w:val="Medium Grid 1"/>
    <w:basedOn w:val="39"/>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000000" w:themeColor="text1"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91">
    <w:name w:val="Medium Grid 1 Accent 1"/>
    <w:basedOn w:val="39"/>
    <w:qFormat/>
    <w:uiPriority w:val="67"/>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4F81BD" w:themeColor="accent1"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92">
    <w:name w:val="Medium Grid 1 Accent 2"/>
    <w:basedOn w:val="39"/>
    <w:qFormat/>
    <w:uiPriority w:val="67"/>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blPr/>
      <w:tcPr>
        <w:tcBorders>
          <w:top w:val="single" w:color="C0504D" w:themeColor="accent2"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93">
    <w:name w:val="Medium Grid 1 Accent 3"/>
    <w:basedOn w:val="39"/>
    <w:qFormat/>
    <w:uiPriority w:val="67"/>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9BBB59" w:themeColor="accent3"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4">
    <w:name w:val="Medium Grid 1 Accent 4"/>
    <w:basedOn w:val="39"/>
    <w:qFormat/>
    <w:uiPriority w:val="67"/>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8064A2" w:themeColor="accent4"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5">
    <w:name w:val="Medium Grid 1 Accent 5"/>
    <w:basedOn w:val="39"/>
    <w:qFormat/>
    <w:uiPriority w:val="67"/>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blPr/>
      <w:tcPr>
        <w:tcBorders>
          <w:top w:val="single" w:color="4BACC6" w:themeColor="accent5"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6">
    <w:name w:val="Medium Grid 1 Accent 6"/>
    <w:basedOn w:val="39"/>
    <w:qFormat/>
    <w:uiPriority w:val="67"/>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blPr/>
      <w:tcPr>
        <w:tcBorders>
          <w:top w:val="single" w:color="F79646" w:themeColor="accent6"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7">
    <w:name w:val="Medium Grid 2"/>
    <w:basedOn w:val="39"/>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8">
    <w:name w:val="Medium Grid 2 Accent 1"/>
    <w:basedOn w:val="39"/>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9">
    <w:name w:val="Medium Grid 2 Accent 2"/>
    <w:basedOn w:val="39"/>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100">
    <w:name w:val="Medium Grid 2 Accent 3"/>
    <w:basedOn w:val="39"/>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101">
    <w:name w:val="Medium Grid 2 Accent 4"/>
    <w:basedOn w:val="39"/>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102">
    <w:name w:val="Medium Grid 2 Accent 5"/>
    <w:basedOn w:val="39"/>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103">
    <w:name w:val="Medium Grid 2 Accent 6"/>
    <w:basedOn w:val="39"/>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4">
    <w:name w:val="Medium Grid 3"/>
    <w:basedOn w:val="39"/>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5">
    <w:name w:val="Medium Grid 3 Accent 1"/>
    <w:basedOn w:val="39"/>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6">
    <w:name w:val="Medium Grid 3 Accent 2"/>
    <w:basedOn w:val="39"/>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7">
    <w:name w:val="Medium Grid 3 Accent 3"/>
    <w:basedOn w:val="39"/>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8">
    <w:name w:val="Medium Grid 3 Accent 4"/>
    <w:basedOn w:val="39"/>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9">
    <w:name w:val="Medium Grid 3 Accent 5"/>
    <w:basedOn w:val="39"/>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10">
    <w:name w:val="Medium Grid 3 Accent 6"/>
    <w:basedOn w:val="39"/>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11">
    <w:name w:val="Dark List"/>
    <w:basedOn w:val="39"/>
    <w:qFormat/>
    <w:uiPriority w:val="70"/>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2">
    <w:name w:val="Dark List Accent 1"/>
    <w:basedOn w:val="39"/>
    <w:qFormat/>
    <w:uiPriority w:val="70"/>
    <w:rPr>
      <w:color w:val="FFFFFF" w:themeColor="background1"/>
      <w14:textFill>
        <w14:solidFill>
          <w14:schemeClr w14:val="bg1"/>
        </w14:solidFill>
      </w14:textFill>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13">
    <w:name w:val="Dark List Accent 2"/>
    <w:basedOn w:val="39"/>
    <w:qFormat/>
    <w:uiPriority w:val="70"/>
    <w:rPr>
      <w:color w:val="FFFFFF" w:themeColor="background1"/>
      <w14:textFill>
        <w14:solidFill>
          <w14:schemeClr w14:val="bg1"/>
        </w14:solidFill>
      </w14:textFill>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4">
    <w:name w:val="Dark List Accent 3"/>
    <w:basedOn w:val="39"/>
    <w:qFormat/>
    <w:uiPriority w:val="70"/>
    <w:rPr>
      <w:color w:val="FFFFFF" w:themeColor="background1"/>
      <w14:textFill>
        <w14:solidFill>
          <w14:schemeClr w14:val="bg1"/>
        </w14:solidFill>
      </w14:textFill>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5">
    <w:name w:val="Dark List Accent 4"/>
    <w:basedOn w:val="39"/>
    <w:qFormat/>
    <w:uiPriority w:val="70"/>
    <w:rPr>
      <w:color w:val="FFFFFF" w:themeColor="background1"/>
      <w14:textFill>
        <w14:solidFill>
          <w14:schemeClr w14:val="bg1"/>
        </w14:solidFill>
      </w14:textFill>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6">
    <w:name w:val="Dark List Accent 5"/>
    <w:basedOn w:val="39"/>
    <w:qFormat/>
    <w:uiPriority w:val="70"/>
    <w:rPr>
      <w:color w:val="FFFFFF" w:themeColor="background1"/>
      <w14:textFill>
        <w14:solidFill>
          <w14:schemeClr w14:val="bg1"/>
        </w14:solidFill>
      </w14:textFill>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7">
    <w:name w:val="Dark List Accent 6"/>
    <w:basedOn w:val="39"/>
    <w:qFormat/>
    <w:uiPriority w:val="70"/>
    <w:rPr>
      <w:color w:val="FFFFFF" w:themeColor="background1"/>
      <w14:textFill>
        <w14:solidFill>
          <w14:schemeClr w14:val="bg1"/>
        </w14:solidFill>
      </w14:textFill>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8">
    <w:name w:val="Colorful Shading"/>
    <w:basedOn w:val="39"/>
    <w:qFormat/>
    <w:uiPriority w:val="71"/>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1"/>
    <w:basedOn w:val="39"/>
    <w:qFormat/>
    <w:uiPriority w:val="71"/>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2"/>
    <w:basedOn w:val="39"/>
    <w:qFormat/>
    <w:uiPriority w:val="71"/>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Shading Accent 3"/>
    <w:basedOn w:val="39"/>
    <w:qFormat/>
    <w:uiPriority w:val="71"/>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2">
    <w:name w:val="Colorful Shading Accent 4"/>
    <w:basedOn w:val="39"/>
    <w:qFormat/>
    <w:uiPriority w:val="71"/>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3">
    <w:name w:val="Colorful Shading Accent 5"/>
    <w:basedOn w:val="39"/>
    <w:qFormat/>
    <w:uiPriority w:val="71"/>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4">
    <w:name w:val="Colorful Shading Accent 6"/>
    <w:basedOn w:val="39"/>
    <w:qFormat/>
    <w:uiPriority w:val="71"/>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5">
    <w:name w:val="Colorful List"/>
    <w:basedOn w:val="39"/>
    <w:qFormat/>
    <w:uiPriority w:val="72"/>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6">
    <w:name w:val="Colorful List Accent 1"/>
    <w:basedOn w:val="39"/>
    <w:qFormat/>
    <w:uiPriority w:val="72"/>
    <w:rPr>
      <w:color w:val="000000" w:themeColor="text1"/>
      <w14:textFill>
        <w14:solidFill>
          <w14:schemeClr w14:val="tx1"/>
        </w14:solidFill>
      </w14:textFill>
    </w:rPr>
    <w:tblPr>
      <w:tblStyleRowBandSize w:val="1"/>
      <w:tblStyleColBandSize w:val="1"/>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7">
    <w:name w:val="Colorful List Accent 2"/>
    <w:basedOn w:val="39"/>
    <w:qFormat/>
    <w:uiPriority w:val="72"/>
    <w:rPr>
      <w:color w:val="000000" w:themeColor="text1"/>
      <w14:textFill>
        <w14:solidFill>
          <w14:schemeClr w14:val="tx1"/>
        </w14:solidFill>
      </w14:textFill>
    </w:rPr>
    <w:tblPr>
      <w:tblStyleRowBandSize w:val="1"/>
      <w:tblStyleColBandSize w:val="1"/>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8">
    <w:name w:val="Colorful List Accent 3"/>
    <w:basedOn w:val="39"/>
    <w:qFormat/>
    <w:uiPriority w:val="72"/>
    <w:rPr>
      <w:color w:val="000000" w:themeColor="text1"/>
      <w14:textFill>
        <w14:solidFill>
          <w14:schemeClr w14:val="tx1"/>
        </w14:solidFill>
      </w14:textFill>
    </w:rPr>
    <w:tblPr>
      <w:tblStyleRowBandSize w:val="1"/>
      <w:tblStyleColBandSize w:val="1"/>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9">
    <w:name w:val="Colorful List Accent 4"/>
    <w:basedOn w:val="39"/>
    <w:qFormat/>
    <w:uiPriority w:val="72"/>
    <w:rPr>
      <w:color w:val="000000" w:themeColor="text1"/>
      <w14:textFill>
        <w14:solidFill>
          <w14:schemeClr w14:val="tx1"/>
        </w14:solidFill>
      </w14:textFill>
    </w:rPr>
    <w:tblPr>
      <w:tblStyleRowBandSize w:val="1"/>
      <w:tblStyleColBandSize w:val="1"/>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0">
    <w:name w:val="Colorful List Accent 5"/>
    <w:basedOn w:val="39"/>
    <w:qFormat/>
    <w:uiPriority w:val="72"/>
    <w:rPr>
      <w:color w:val="000000" w:themeColor="text1"/>
      <w14:textFill>
        <w14:solidFill>
          <w14:schemeClr w14:val="tx1"/>
        </w14:solidFill>
      </w14:textFill>
    </w:rPr>
    <w:tblPr>
      <w:tblStyleRowBandSize w:val="1"/>
      <w:tblStyleColBandSize w:val="1"/>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31">
    <w:name w:val="Colorful List Accent 6"/>
    <w:basedOn w:val="39"/>
    <w:qFormat/>
    <w:uiPriority w:val="72"/>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32">
    <w:name w:val="Colorful Grid"/>
    <w:basedOn w:val="39"/>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33">
    <w:name w:val="Colorful Grid Accent 1"/>
    <w:basedOn w:val="39"/>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4">
    <w:name w:val="Colorful Grid Accent 2"/>
    <w:basedOn w:val="39"/>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5">
    <w:name w:val="Colorful Grid Accent 3"/>
    <w:basedOn w:val="39"/>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6">
    <w:name w:val="Colorful Grid Accent 4"/>
    <w:basedOn w:val="39"/>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7">
    <w:name w:val="Colorful Grid Accent 5"/>
    <w:basedOn w:val="39"/>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8">
    <w:name w:val="Colorful Grid Accent 6"/>
    <w:basedOn w:val="39"/>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40">
    <w:name w:val="Strong"/>
    <w:basedOn w:val="139"/>
    <w:qFormat/>
    <w:uiPriority w:val="22"/>
    <w:rPr>
      <w:b/>
      <w:bCs/>
    </w:rPr>
  </w:style>
  <w:style w:type="character" w:styleId="141">
    <w:name w:val="Emphasis"/>
    <w:basedOn w:val="139"/>
    <w:qFormat/>
    <w:uiPriority w:val="20"/>
    <w:rPr>
      <w:i/>
      <w:iCs/>
    </w:rPr>
  </w:style>
  <w:style w:type="character" w:styleId="142">
    <w:name w:val="Hyperlink"/>
    <w:qFormat/>
    <w:uiPriority w:val="0"/>
    <w:rPr>
      <w:color w:val="000080"/>
      <w:u w:val="single"/>
    </w:rPr>
  </w:style>
  <w:style w:type="character" w:customStyle="1" w:styleId="143">
    <w:name w:val="页眉 字符"/>
    <w:basedOn w:val="139"/>
    <w:link w:val="27"/>
    <w:qFormat/>
    <w:uiPriority w:val="99"/>
  </w:style>
  <w:style w:type="character" w:customStyle="1" w:styleId="144">
    <w:name w:val="页脚 字符"/>
    <w:basedOn w:val="139"/>
    <w:link w:val="26"/>
    <w:qFormat/>
    <w:uiPriority w:val="99"/>
  </w:style>
  <w:style w:type="character" w:customStyle="1" w:styleId="145">
    <w:name w:val="标题 1 字符"/>
    <w:basedOn w:val="139"/>
    <w:link w:val="4"/>
    <w:qFormat/>
    <w:uiPriority w:val="9"/>
    <w:rPr>
      <w:rFonts w:asciiTheme="majorHAnsi" w:hAnsiTheme="majorHAnsi" w:eastAsiaTheme="majorEastAsia" w:cstheme="majorBidi"/>
      <w:b/>
      <w:bCs/>
      <w:color w:val="376092" w:themeColor="accent1" w:themeShade="BF"/>
      <w:sz w:val="28"/>
      <w:szCs w:val="28"/>
    </w:rPr>
  </w:style>
  <w:style w:type="character" w:customStyle="1" w:styleId="146">
    <w:name w:val="标题 2 字符"/>
    <w:basedOn w:val="139"/>
    <w:link w:val="5"/>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7">
    <w:name w:val="标题 3 字符"/>
    <w:basedOn w:val="139"/>
    <w:link w:val="6"/>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8">
    <w:name w:val="标题 字符"/>
    <w:basedOn w:val="139"/>
    <w:link w:val="38"/>
    <w:qFormat/>
    <w:uiPriority w:val="10"/>
    <w:rPr>
      <w:rFonts w:asciiTheme="majorHAnsi" w:hAnsiTheme="majorHAnsi" w:eastAsiaTheme="majorEastAsia" w:cstheme="majorBidi"/>
      <w:color w:val="17375E" w:themeColor="text2" w:themeShade="BF"/>
      <w:spacing w:val="5"/>
      <w:kern w:val="2"/>
      <w:sz w:val="52"/>
      <w:szCs w:val="52"/>
    </w:rPr>
  </w:style>
  <w:style w:type="character" w:customStyle="1" w:styleId="149">
    <w:name w:val="副标题 字符"/>
    <w:basedOn w:val="139"/>
    <w:link w:val="31"/>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character" w:customStyle="1" w:styleId="150">
    <w:name w:val="正文文本 字符"/>
    <w:basedOn w:val="139"/>
    <w:link w:val="2"/>
    <w:qFormat/>
    <w:uiPriority w:val="99"/>
  </w:style>
  <w:style w:type="character" w:customStyle="1" w:styleId="151">
    <w:name w:val="正文文本 2 字符"/>
    <w:basedOn w:val="139"/>
    <w:link w:val="34"/>
    <w:qFormat/>
    <w:uiPriority w:val="99"/>
  </w:style>
  <w:style w:type="character" w:customStyle="1" w:styleId="152">
    <w:name w:val="正文文本 3 字符"/>
    <w:basedOn w:val="139"/>
    <w:link w:val="18"/>
    <w:qFormat/>
    <w:uiPriority w:val="99"/>
    <w:rPr>
      <w:sz w:val="16"/>
      <w:szCs w:val="16"/>
    </w:rPr>
  </w:style>
  <w:style w:type="character" w:customStyle="1" w:styleId="153">
    <w:name w:val="宏文本 字符"/>
    <w:basedOn w:val="139"/>
    <w:link w:val="3"/>
    <w:qFormat/>
    <w:uiPriority w:val="99"/>
    <w:rPr>
      <w:rFonts w:ascii="Courier" w:hAnsi="Courier"/>
      <w:sz w:val="20"/>
      <w:szCs w:val="20"/>
    </w:rPr>
  </w:style>
  <w:style w:type="character" w:customStyle="1" w:styleId="154">
    <w:name w:val="引用 字符"/>
    <w:basedOn w:val="139"/>
    <w:link w:val="155"/>
    <w:qFormat/>
    <w:uiPriority w:val="29"/>
    <w:rPr>
      <w:i/>
      <w:iCs/>
      <w:color w:val="000000" w:themeColor="text1"/>
      <w14:textFill>
        <w14:solidFill>
          <w14:schemeClr w14:val="tx1"/>
        </w14:solidFill>
      </w14:textFill>
    </w:rPr>
  </w:style>
  <w:style w:type="paragraph" w:styleId="155">
    <w:name w:val="Quote"/>
    <w:basedOn w:val="1"/>
    <w:next w:val="1"/>
    <w:link w:val="154"/>
    <w:qFormat/>
    <w:uiPriority w:val="29"/>
    <w:rPr>
      <w:i/>
      <w:iCs/>
      <w:color w:val="000000" w:themeColor="text1"/>
      <w14:textFill>
        <w14:solidFill>
          <w14:schemeClr w14:val="tx1"/>
        </w14:solidFill>
      </w14:textFill>
    </w:rPr>
  </w:style>
  <w:style w:type="character" w:customStyle="1" w:styleId="156">
    <w:name w:val="标题 4 字符"/>
    <w:basedOn w:val="139"/>
    <w:link w:val="7"/>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7">
    <w:name w:val="标题 5 字符"/>
    <w:basedOn w:val="139"/>
    <w:link w:val="8"/>
    <w:semiHidden/>
    <w:qFormat/>
    <w:uiPriority w:val="9"/>
    <w:rPr>
      <w:rFonts w:asciiTheme="majorHAnsi" w:hAnsiTheme="majorHAnsi" w:eastAsiaTheme="majorEastAsia" w:cstheme="majorBidi"/>
      <w:color w:val="254061" w:themeColor="accent1" w:themeShade="80"/>
    </w:rPr>
  </w:style>
  <w:style w:type="character" w:customStyle="1" w:styleId="158">
    <w:name w:val="标题 6 字符"/>
    <w:basedOn w:val="139"/>
    <w:link w:val="9"/>
    <w:semiHidden/>
    <w:qFormat/>
    <w:uiPriority w:val="9"/>
    <w:rPr>
      <w:rFonts w:asciiTheme="majorHAnsi" w:hAnsiTheme="majorHAnsi" w:eastAsiaTheme="majorEastAsia" w:cstheme="majorBidi"/>
      <w:i/>
      <w:iCs/>
      <w:color w:val="254061" w:themeColor="accent1" w:themeShade="80"/>
    </w:rPr>
  </w:style>
  <w:style w:type="character" w:customStyle="1" w:styleId="159">
    <w:name w:val="标题 7 字符"/>
    <w:basedOn w:val="139"/>
    <w:link w:val="10"/>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60">
    <w:name w:val="标题 8 字符"/>
    <w:basedOn w:val="139"/>
    <w:link w:val="11"/>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61">
    <w:name w:val="标题 9 字符"/>
    <w:basedOn w:val="139"/>
    <w:link w:val="12"/>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customStyle="1" w:styleId="162">
    <w:name w:val="明显引用 字符"/>
    <w:basedOn w:val="139"/>
    <w:link w:val="163"/>
    <w:qFormat/>
    <w:uiPriority w:val="30"/>
    <w:rPr>
      <w:b/>
      <w:bCs/>
      <w:i/>
      <w:iCs/>
      <w:color w:val="4F81BD" w:themeColor="accent1"/>
      <w14:textFill>
        <w14:solidFill>
          <w14:schemeClr w14:val="accent1"/>
        </w14:solidFill>
      </w14:textFill>
    </w:rPr>
  </w:style>
  <w:style w:type="paragraph" w:styleId="163">
    <w:name w:val="Intense Quote"/>
    <w:basedOn w:val="1"/>
    <w:next w:val="1"/>
    <w:link w:val="162"/>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64">
    <w:name w:val="不明显强调1"/>
    <w:basedOn w:val="139"/>
    <w:qFormat/>
    <w:uiPriority w:val="19"/>
    <w:rPr>
      <w:i/>
      <w:iCs/>
      <w:color w:val="808080" w:themeColor="text1" w:themeTint="80"/>
      <w14:textFill>
        <w14:solidFill>
          <w14:schemeClr w14:val="tx1">
            <w14:lumMod w14:val="50000"/>
            <w14:lumOff w14:val="50000"/>
          </w14:schemeClr>
        </w14:solidFill>
      </w14:textFill>
    </w:rPr>
  </w:style>
  <w:style w:type="character" w:customStyle="1" w:styleId="165">
    <w:name w:val="明显强调1"/>
    <w:basedOn w:val="139"/>
    <w:qFormat/>
    <w:uiPriority w:val="21"/>
    <w:rPr>
      <w:b/>
      <w:bCs/>
      <w:i/>
      <w:iCs/>
      <w:color w:val="4F81BD" w:themeColor="accent1"/>
      <w14:textFill>
        <w14:solidFill>
          <w14:schemeClr w14:val="accent1"/>
        </w14:solidFill>
      </w14:textFill>
    </w:rPr>
  </w:style>
  <w:style w:type="character" w:customStyle="1" w:styleId="166">
    <w:name w:val="不明显参考1"/>
    <w:basedOn w:val="139"/>
    <w:qFormat/>
    <w:uiPriority w:val="31"/>
    <w:rPr>
      <w:smallCaps/>
      <w:color w:val="C0504D" w:themeColor="accent2"/>
      <w:u w:val="single"/>
      <w14:textFill>
        <w14:solidFill>
          <w14:schemeClr w14:val="accent2"/>
        </w14:solidFill>
      </w14:textFill>
    </w:rPr>
  </w:style>
  <w:style w:type="character" w:customStyle="1" w:styleId="167">
    <w:name w:val="明显参考1"/>
    <w:basedOn w:val="139"/>
    <w:qFormat/>
    <w:uiPriority w:val="32"/>
    <w:rPr>
      <w:b/>
      <w:bCs/>
      <w:smallCaps/>
      <w:color w:val="C0504D" w:themeColor="accent2"/>
      <w:spacing w:val="5"/>
      <w:u w:val="single"/>
      <w14:textFill>
        <w14:solidFill>
          <w14:schemeClr w14:val="accent2"/>
        </w14:solidFill>
      </w14:textFill>
    </w:rPr>
  </w:style>
  <w:style w:type="character" w:customStyle="1" w:styleId="168">
    <w:name w:val="书籍标题1"/>
    <w:basedOn w:val="139"/>
    <w:qFormat/>
    <w:uiPriority w:val="33"/>
    <w:rPr>
      <w:b/>
      <w:bCs/>
      <w:smallCaps/>
      <w:spacing w:val="5"/>
    </w:rPr>
  </w:style>
  <w:style w:type="character" w:customStyle="1" w:styleId="169">
    <w:name w:val="Index Link"/>
    <w:qFormat/>
    <w:uiPriority w:val="0"/>
  </w:style>
  <w:style w:type="paragraph" w:customStyle="1" w:styleId="170">
    <w:name w:val="Header and Footer"/>
    <w:basedOn w:val="1"/>
    <w:qFormat/>
    <w:uiPriority w:val="0"/>
  </w:style>
  <w:style w:type="paragraph" w:styleId="171">
    <w:name w:val="No Spacing"/>
    <w:qFormat/>
    <w:uiPriority w:val="1"/>
    <w:pPr>
      <w:suppressAutoHyphens/>
    </w:pPr>
    <w:rPr>
      <w:rFonts w:eastAsia="宋体" w:asciiTheme="minorHAnsi" w:hAnsiTheme="minorHAnsi" w:cstheme="minorBidi"/>
      <w:sz w:val="22"/>
      <w:szCs w:val="22"/>
      <w:lang w:val="en-US" w:eastAsia="en-US" w:bidi="ar-SA"/>
    </w:rPr>
  </w:style>
  <w:style w:type="paragraph" w:styleId="172">
    <w:name w:val="List Paragraph"/>
    <w:basedOn w:val="1"/>
    <w:qFormat/>
    <w:uiPriority w:val="34"/>
    <w:pPr>
      <w:ind w:left="720"/>
      <w:contextualSpacing/>
    </w:pPr>
  </w:style>
  <w:style w:type="paragraph" w:customStyle="1" w:styleId="173">
    <w:name w:val="TOC 标题1"/>
    <w:basedOn w:val="4"/>
    <w:next w:val="1"/>
    <w:semiHidden/>
    <w:unhideWhenUsed/>
    <w:qFormat/>
    <w:uiPriority w:val="39"/>
    <w:pPr>
      <w:outlineLvl w:val="9"/>
    </w:pPr>
    <w:rPr>
      <w:rFonts w:eastAsia="宋体"/>
    </w:rPr>
  </w:style>
  <w:style w:type="paragraph" w:customStyle="1" w:styleId="174">
    <w:name w:val="纯文本1"/>
    <w:basedOn w:val="1"/>
    <w:qFormat/>
    <w:uiPriority w:val="0"/>
    <w:rPr>
      <w:rFonts w:cs="Courier New"/>
      <w:sz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498</Words>
  <Characters>521</Characters>
  <Lines>50</Lines>
  <Paragraphs>14</Paragraphs>
  <TotalTime>221</TotalTime>
  <ScaleCrop>false</ScaleCrop>
  <LinksUpToDate>false</LinksUpToDate>
  <CharactersWithSpaces>591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·大力地努力的大力</cp:lastModifiedBy>
  <dcterms:modified xsi:type="dcterms:W3CDTF">2026-08-17T06:52:37Z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 "1", "ContentProducer": "001191320114777023172010000", "ProduceID": "voiceassistant-bb0897e7774fd51f", "ReservedCode1": "{\"SecurityData\":{\"Type\":\"TC260PG\",\"Version\":1,\"Bindings\":[{\"Type\":\"Hash\",\"AlgID\":\"2.16.840.1.101.3.4.2.1\",\"Value\":\"bb0897e7774fd51f180c186429de5bac6cfe96f5c30653bad02d6b9e27cfe95c\"}],\"PrivSD\":[],\"PubSD\":[{\"AlgID\":\"1.2.840.113549.1.1.10\",\"Type\":\"DS\",\"TBSData\":[{\"Type\":\"Bnd\"},{\"Type\":\"Md\"}],\"Signature\":\"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\"}]}}", "ContentPropagator": "001191320114777023172010000", "PropagateID": "voiceassistant-bb0897e7774fd51f"}</vt:lpwstr>
  </property>
  <property fmtid="{D5CDD505-2E9C-101B-9397-08002B2CF9AE}" pid="3" name="KSOTemplateDocerSaveRecord">
    <vt:lpwstr>eyJoZGlkIjoiZjMwNGFhNzdlOWM3MTI0NWEwNTY5ODlmMmI4NjI3ZDkiLCJ1c2VySWQiOiIzODgwNDI1MjgifQ==</vt:lpwstr>
  </property>
  <property fmtid="{D5CDD505-2E9C-101B-9397-08002B2CF9AE}" pid="4" name="KSOProductBuildVer">
    <vt:lpwstr>2052-12.1.0.28043</vt:lpwstr>
  </property>
  <property fmtid="{D5CDD505-2E9C-101B-9397-08002B2CF9AE}" pid="5" name="ICV">
    <vt:lpwstr>EDDAEE68B38146B48C5178781D344115_13</vt:lpwstr>
  </property>
</Properties>
</file>